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6D" w:rsidRPr="00902A1C" w:rsidRDefault="00B36652" w:rsidP="00B36652">
      <w:pPr>
        <w:spacing w:after="1320"/>
        <w:rPr>
          <w:b/>
          <w:color w:val="FFFFFF" w:themeColor="background1"/>
          <w:sz w:val="28"/>
          <w:szCs w:val="28"/>
        </w:rPr>
      </w:pPr>
      <w:bookmarkStart w:id="0" w:name="_GoBack"/>
      <w:bookmarkEnd w:id="0"/>
      <w:r w:rsidRPr="00902A1C">
        <w:rPr>
          <w:b/>
          <w:noProof/>
          <w:sz w:val="28"/>
          <w:szCs w:val="28"/>
        </w:rPr>
        <w:drawing>
          <wp:anchor distT="0" distB="0" distL="114300" distR="114300" simplePos="0" relativeHeight="251654144" behindDoc="1" locked="0" layoutInCell="0" allowOverlap="1" wp14:anchorId="690CE093" wp14:editId="2E106728">
            <wp:simplePos x="0" y="0"/>
            <wp:positionH relativeFrom="page">
              <wp:align>left</wp:align>
            </wp:positionH>
            <wp:positionV relativeFrom="page">
              <wp:align>top</wp:align>
            </wp:positionV>
            <wp:extent cx="7558405" cy="10691495"/>
            <wp:effectExtent l="0" t="0" r="4445" b="0"/>
            <wp:wrapNone/>
            <wp:docPr id="5" name="Picture 5" descr="The logo for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00CC586D" w:rsidRPr="00902A1C">
        <w:rPr>
          <w:b/>
          <w:color w:val="FFFFFF" w:themeColor="background1"/>
          <w:sz w:val="28"/>
          <w:szCs w:val="28"/>
        </w:rPr>
        <w:t>Independent Hospital Pricing Authority</w:t>
      </w:r>
    </w:p>
    <w:p w:rsidR="00102824" w:rsidRDefault="00B36652" w:rsidP="00102824">
      <w:pPr>
        <w:pStyle w:val="Title"/>
      </w:pPr>
      <w:bookmarkStart w:id="1" w:name="_Toc432499185"/>
      <w:r>
        <w:t xml:space="preserve">ANNUAL </w:t>
      </w:r>
      <w:r>
        <w:br/>
        <w:t xml:space="preserve">REPORT </w:t>
      </w:r>
      <w:r>
        <w:br/>
        <w:t>2014-15</w:t>
      </w:r>
      <w:bookmarkEnd w:id="1"/>
    </w:p>
    <w:p w:rsidR="00CC586D" w:rsidRDefault="00CC586D" w:rsidP="00CC586D">
      <w:pPr>
        <w:pStyle w:val="Subtitle"/>
      </w:pPr>
    </w:p>
    <w:p w:rsidR="00406578" w:rsidRDefault="00406578" w:rsidP="00406578">
      <w:pPr>
        <w:sectPr w:rsidR="00406578" w:rsidSect="00B36652">
          <w:pgSz w:w="11906" w:h="16838" w:code="9"/>
          <w:pgMar w:top="3969" w:right="1021" w:bottom="1021" w:left="1021" w:header="567" w:footer="567" w:gutter="0"/>
          <w:cols w:space="708"/>
          <w:docGrid w:linePitch="360"/>
        </w:sectPr>
      </w:pPr>
    </w:p>
    <w:p w:rsidR="00AD19D2" w:rsidRPr="00AD19D2" w:rsidRDefault="00DB1652" w:rsidP="00AD19D2">
      <w:pPr>
        <w:rPr>
          <w:b/>
          <w:sz w:val="24"/>
        </w:rPr>
      </w:pPr>
      <w:r>
        <w:rPr>
          <w:b/>
          <w:sz w:val="24"/>
        </w:rPr>
        <w:lastRenderedPageBreak/>
        <w:t>ABOUT THIS REPORT</w:t>
      </w:r>
    </w:p>
    <w:p w:rsidR="00AD19D2" w:rsidRPr="00AD19D2" w:rsidRDefault="00AD19D2" w:rsidP="00AD19D2">
      <w:pPr>
        <w:rPr>
          <w:sz w:val="20"/>
          <w:szCs w:val="20"/>
        </w:rPr>
      </w:pPr>
      <w:r w:rsidRPr="00AD19D2">
        <w:rPr>
          <w:sz w:val="20"/>
          <w:szCs w:val="20"/>
        </w:rPr>
        <w:t xml:space="preserve">This report is prepared in accordance with the </w:t>
      </w:r>
      <w:r w:rsidRPr="004B4BC0">
        <w:rPr>
          <w:i/>
          <w:sz w:val="20"/>
          <w:szCs w:val="20"/>
        </w:rPr>
        <w:t>Requirements for Annual Reports</w:t>
      </w:r>
      <w:r w:rsidRPr="00AD19D2">
        <w:rPr>
          <w:sz w:val="20"/>
          <w:szCs w:val="20"/>
        </w:rPr>
        <w:t xml:space="preserve">, as issued by the Department of the Prime Minister and Cabinet and approved by the Joint Committee of Public Accountants Audit under sub sections 63(2) and 70(2) of the </w:t>
      </w:r>
      <w:r w:rsidRPr="004B4BC0">
        <w:rPr>
          <w:i/>
          <w:sz w:val="20"/>
          <w:szCs w:val="20"/>
        </w:rPr>
        <w:t>Public Service Act 1999</w:t>
      </w:r>
      <w:r w:rsidRPr="00AD19D2">
        <w:rPr>
          <w:sz w:val="20"/>
          <w:szCs w:val="20"/>
        </w:rPr>
        <w:t xml:space="preserve">. </w:t>
      </w:r>
    </w:p>
    <w:p w:rsidR="00AD19D2" w:rsidRPr="00AD19D2" w:rsidRDefault="00AD19D2" w:rsidP="00AD19D2">
      <w:pPr>
        <w:rPr>
          <w:sz w:val="20"/>
          <w:szCs w:val="20"/>
        </w:rPr>
      </w:pPr>
      <w:r w:rsidRPr="00AD19D2">
        <w:rPr>
          <w:sz w:val="20"/>
          <w:szCs w:val="20"/>
        </w:rPr>
        <w:t>The report is a formal accountability document that details the activities of the Independent Hospital Pricing Authority (IHPA) from 1 July 2014 – 30 June 2015.</w:t>
      </w:r>
    </w:p>
    <w:p w:rsidR="00AD19D2" w:rsidRDefault="00AD19D2" w:rsidP="00AD19D2">
      <w:pPr>
        <w:rPr>
          <w:sz w:val="20"/>
          <w:szCs w:val="20"/>
        </w:rPr>
      </w:pPr>
      <w:r w:rsidRPr="00AD19D2">
        <w:rPr>
          <w:sz w:val="20"/>
          <w:szCs w:val="20"/>
        </w:rPr>
        <w:t xml:space="preserve">This report provides Members of Parliament and Senators with an accurate description of IHPA’s activities during the financial year 2014–15. The report also provides a valuable resource of information for IHPA’s stakeholders including the general public. </w:t>
      </w:r>
    </w:p>
    <w:p w:rsidR="00AD19D2" w:rsidRPr="00DB1652" w:rsidRDefault="00AD19D2" w:rsidP="00666273">
      <w:pPr>
        <w:spacing w:before="240" w:after="0"/>
        <w:rPr>
          <w:b/>
          <w:color w:val="008A00" w:themeColor="accent2"/>
          <w:sz w:val="24"/>
        </w:rPr>
      </w:pPr>
      <w:r w:rsidRPr="00DB1652">
        <w:rPr>
          <w:b/>
          <w:color w:val="008A00" w:themeColor="accent2"/>
          <w:sz w:val="24"/>
        </w:rPr>
        <w:t>Contact us</w:t>
      </w:r>
    </w:p>
    <w:p w:rsidR="00AD19D2" w:rsidRPr="00AD19D2" w:rsidRDefault="00AD19D2" w:rsidP="00AD19D2">
      <w:pPr>
        <w:rPr>
          <w:sz w:val="20"/>
          <w:szCs w:val="20"/>
        </w:rPr>
      </w:pPr>
      <w:r w:rsidRPr="00AD19D2">
        <w:rPr>
          <w:sz w:val="20"/>
          <w:szCs w:val="20"/>
        </w:rPr>
        <w:t xml:space="preserve">If you have any queries about this Annual Report please contact: </w:t>
      </w:r>
    </w:p>
    <w:p w:rsidR="00AD19D2" w:rsidRPr="00FC3343" w:rsidRDefault="00AD19D2" w:rsidP="00FC3343">
      <w:pPr>
        <w:pStyle w:val="NoSpacing"/>
        <w:rPr>
          <w:rStyle w:val="Strong"/>
          <w:sz w:val="20"/>
          <w:szCs w:val="20"/>
        </w:rPr>
      </w:pPr>
      <w:r w:rsidRPr="00FC3343">
        <w:rPr>
          <w:rStyle w:val="Strong"/>
          <w:sz w:val="20"/>
          <w:szCs w:val="20"/>
        </w:rPr>
        <w:t>Alison Wares</w:t>
      </w:r>
    </w:p>
    <w:p w:rsidR="00AD19D2" w:rsidRPr="00FC3343" w:rsidRDefault="00AD19D2" w:rsidP="00FC3343">
      <w:pPr>
        <w:pStyle w:val="NoSpacing"/>
        <w:rPr>
          <w:sz w:val="20"/>
          <w:szCs w:val="20"/>
        </w:rPr>
      </w:pPr>
      <w:r w:rsidRPr="00FC3343">
        <w:rPr>
          <w:sz w:val="20"/>
          <w:szCs w:val="20"/>
        </w:rPr>
        <w:t>Communication Manager</w:t>
      </w:r>
    </w:p>
    <w:p w:rsidR="00AD19D2" w:rsidRPr="00FC3343" w:rsidRDefault="00AD19D2" w:rsidP="00FC3343">
      <w:pPr>
        <w:pStyle w:val="NoSpacing"/>
        <w:rPr>
          <w:sz w:val="20"/>
          <w:szCs w:val="20"/>
        </w:rPr>
      </w:pPr>
      <w:r w:rsidRPr="00FC3343">
        <w:rPr>
          <w:sz w:val="20"/>
          <w:szCs w:val="20"/>
        </w:rPr>
        <w:t>Independent Hospital Pricing Authority</w:t>
      </w:r>
    </w:p>
    <w:p w:rsidR="00AD19D2" w:rsidRPr="00FC3343" w:rsidRDefault="00AD19D2" w:rsidP="00FC3343">
      <w:pPr>
        <w:pStyle w:val="NoSpacing"/>
        <w:rPr>
          <w:sz w:val="20"/>
          <w:szCs w:val="20"/>
        </w:rPr>
      </w:pPr>
      <w:r w:rsidRPr="00FC3343">
        <w:rPr>
          <w:sz w:val="20"/>
          <w:szCs w:val="20"/>
        </w:rPr>
        <w:t>PO Box 483</w:t>
      </w:r>
    </w:p>
    <w:p w:rsidR="00AD19D2" w:rsidRDefault="00AD19D2" w:rsidP="00FC3343">
      <w:pPr>
        <w:pStyle w:val="NoSpacing"/>
        <w:rPr>
          <w:sz w:val="20"/>
          <w:szCs w:val="20"/>
        </w:rPr>
      </w:pPr>
      <w:r w:rsidRPr="00FC3343">
        <w:rPr>
          <w:sz w:val="20"/>
          <w:szCs w:val="20"/>
        </w:rPr>
        <w:t>Darlinghurst NSW 1300</w:t>
      </w:r>
    </w:p>
    <w:p w:rsidR="00FC3343" w:rsidRPr="00FC3343" w:rsidRDefault="00FC3343" w:rsidP="00FC3343">
      <w:pPr>
        <w:pStyle w:val="NoSpacing"/>
        <w:rPr>
          <w:sz w:val="20"/>
          <w:szCs w:val="20"/>
        </w:rPr>
      </w:pPr>
    </w:p>
    <w:p w:rsidR="00AD19D2" w:rsidRPr="00FC3343" w:rsidRDefault="00AD19D2" w:rsidP="00FC3343">
      <w:pPr>
        <w:pStyle w:val="NoSpacing"/>
        <w:rPr>
          <w:sz w:val="20"/>
          <w:szCs w:val="20"/>
        </w:rPr>
      </w:pPr>
      <w:r w:rsidRPr="00FC3343">
        <w:rPr>
          <w:rStyle w:val="Strong"/>
          <w:sz w:val="20"/>
          <w:szCs w:val="20"/>
        </w:rPr>
        <w:t xml:space="preserve">Website </w:t>
      </w:r>
      <w:r w:rsidRPr="00FC3343">
        <w:rPr>
          <w:sz w:val="20"/>
          <w:szCs w:val="20"/>
        </w:rPr>
        <w:t xml:space="preserve">www.ihpa.gov.au </w:t>
      </w:r>
    </w:p>
    <w:p w:rsidR="00AD19D2" w:rsidRPr="00FC3343" w:rsidRDefault="00AD19D2" w:rsidP="00FC3343">
      <w:pPr>
        <w:pStyle w:val="NoSpacing"/>
        <w:rPr>
          <w:sz w:val="20"/>
          <w:szCs w:val="20"/>
        </w:rPr>
      </w:pPr>
      <w:r w:rsidRPr="00FC3343">
        <w:rPr>
          <w:rStyle w:val="Strong"/>
          <w:sz w:val="20"/>
          <w:szCs w:val="20"/>
        </w:rPr>
        <w:t>Email</w:t>
      </w:r>
      <w:r w:rsidRPr="00FC3343">
        <w:rPr>
          <w:sz w:val="20"/>
          <w:szCs w:val="20"/>
        </w:rPr>
        <w:t xml:space="preserve"> communications.ihpa@ihpa.gov.au </w:t>
      </w:r>
    </w:p>
    <w:p w:rsidR="00AD19D2" w:rsidRPr="00FC3343" w:rsidRDefault="00AD19D2" w:rsidP="00FC3343">
      <w:pPr>
        <w:pStyle w:val="NoSpacing"/>
        <w:rPr>
          <w:sz w:val="20"/>
          <w:szCs w:val="20"/>
        </w:rPr>
      </w:pPr>
      <w:r w:rsidRPr="00FC3343">
        <w:rPr>
          <w:rStyle w:val="Strong"/>
          <w:sz w:val="20"/>
          <w:szCs w:val="20"/>
        </w:rPr>
        <w:t>Telephone</w:t>
      </w:r>
      <w:r w:rsidRPr="00FC3343">
        <w:rPr>
          <w:sz w:val="20"/>
          <w:szCs w:val="20"/>
        </w:rPr>
        <w:t xml:space="preserve"> 02 8215 1100</w:t>
      </w:r>
    </w:p>
    <w:p w:rsidR="00AD19D2" w:rsidRPr="00FC3343" w:rsidRDefault="00AD19D2" w:rsidP="00FC3343">
      <w:pPr>
        <w:pStyle w:val="NoSpacing"/>
        <w:rPr>
          <w:sz w:val="20"/>
          <w:szCs w:val="20"/>
        </w:rPr>
      </w:pPr>
      <w:r w:rsidRPr="00FC3343">
        <w:rPr>
          <w:rStyle w:val="Strong"/>
          <w:sz w:val="20"/>
          <w:szCs w:val="20"/>
        </w:rPr>
        <w:t>Fax</w:t>
      </w:r>
      <w:r w:rsidRPr="00FC3343">
        <w:rPr>
          <w:sz w:val="20"/>
          <w:szCs w:val="20"/>
        </w:rPr>
        <w:t xml:space="preserve"> 02 8215 1111</w:t>
      </w:r>
    </w:p>
    <w:p w:rsidR="00AD19D2" w:rsidRPr="00FC3343" w:rsidRDefault="00AD19D2" w:rsidP="00FC3343">
      <w:pPr>
        <w:pStyle w:val="NoSpacing"/>
        <w:rPr>
          <w:sz w:val="20"/>
          <w:szCs w:val="20"/>
        </w:rPr>
      </w:pPr>
      <w:r w:rsidRPr="00FC3343">
        <w:rPr>
          <w:rStyle w:val="Strong"/>
          <w:sz w:val="20"/>
          <w:szCs w:val="20"/>
        </w:rPr>
        <w:t>ABN</w:t>
      </w:r>
      <w:r w:rsidRPr="00FC3343">
        <w:rPr>
          <w:sz w:val="20"/>
          <w:szCs w:val="20"/>
        </w:rPr>
        <w:t xml:space="preserve"> 27 598 959 960</w:t>
      </w:r>
    </w:p>
    <w:p w:rsidR="00AD19D2" w:rsidRPr="00DB1652" w:rsidRDefault="00AD19D2" w:rsidP="00DB1652">
      <w:pPr>
        <w:pStyle w:val="NoSpacing"/>
        <w:spacing w:before="480" w:after="60"/>
        <w:rPr>
          <w:b/>
          <w:sz w:val="16"/>
          <w:szCs w:val="16"/>
        </w:rPr>
      </w:pPr>
      <w:r w:rsidRPr="00DB1652">
        <w:rPr>
          <w:b/>
          <w:sz w:val="16"/>
          <w:szCs w:val="16"/>
        </w:rPr>
        <w:t xml:space="preserve">Independent Hospital Pricing Authority Annual Report 2014–15 </w:t>
      </w:r>
    </w:p>
    <w:p w:rsidR="00AD19D2" w:rsidRPr="00AD19D2" w:rsidRDefault="00AD19D2" w:rsidP="00DB1652">
      <w:pPr>
        <w:pStyle w:val="NoSpacing"/>
        <w:spacing w:after="60"/>
        <w:rPr>
          <w:sz w:val="16"/>
          <w:szCs w:val="16"/>
        </w:rPr>
      </w:pPr>
      <w:r w:rsidRPr="00AD19D2">
        <w:rPr>
          <w:sz w:val="16"/>
          <w:szCs w:val="16"/>
        </w:rPr>
        <w:t>Online ISSN: 2201-1862</w:t>
      </w:r>
    </w:p>
    <w:p w:rsidR="00AD19D2" w:rsidRPr="00AD19D2" w:rsidRDefault="00AD19D2" w:rsidP="00DB1652">
      <w:pPr>
        <w:pStyle w:val="NoSpacing"/>
        <w:spacing w:after="60"/>
        <w:rPr>
          <w:sz w:val="16"/>
          <w:szCs w:val="16"/>
        </w:rPr>
      </w:pPr>
      <w:r w:rsidRPr="00AD19D2">
        <w:rPr>
          <w:sz w:val="16"/>
          <w:szCs w:val="16"/>
        </w:rPr>
        <w:t>Print ISSN: 2201-0718</w:t>
      </w:r>
    </w:p>
    <w:p w:rsidR="00AD19D2" w:rsidRPr="00AD19D2" w:rsidRDefault="00AD19D2" w:rsidP="00DB1652">
      <w:pPr>
        <w:pStyle w:val="NoSpacing"/>
        <w:spacing w:after="60"/>
        <w:rPr>
          <w:sz w:val="16"/>
          <w:szCs w:val="16"/>
        </w:rPr>
      </w:pPr>
      <w:r w:rsidRPr="00AD19D2">
        <w:rPr>
          <w:sz w:val="16"/>
          <w:szCs w:val="16"/>
        </w:rPr>
        <w:t>Printed document © Commonwealth of Australia 2015</w:t>
      </w:r>
    </w:p>
    <w:p w:rsidR="00AD19D2" w:rsidRPr="00AD19D2" w:rsidRDefault="00AD19D2" w:rsidP="00DB1652">
      <w:pPr>
        <w:pStyle w:val="NoSpacing"/>
        <w:spacing w:after="60"/>
        <w:rPr>
          <w:sz w:val="16"/>
          <w:szCs w:val="16"/>
        </w:rPr>
      </w:pPr>
      <w:r w:rsidRPr="00AD19D2">
        <w:rPr>
          <w:sz w:val="16"/>
          <w:szCs w:val="16"/>
        </w:rPr>
        <w:t xml:space="preserve">This work is copyright. You may reproduce the whole or part of this work in unaltered form for your own personal use or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IHPA to do so. Requests and enquiries concerning reproduction and rights are to be sent to Communication Manager, IHPA, PO Box 483, Darlinghurst NSW 1300 or via email to communications.ihpa@ihpa.gov.au </w:t>
      </w:r>
    </w:p>
    <w:p w:rsidR="00AD19D2" w:rsidRPr="00AD19D2" w:rsidRDefault="00AD19D2" w:rsidP="00DB1652">
      <w:pPr>
        <w:pStyle w:val="NoSpacing"/>
        <w:spacing w:after="60"/>
        <w:rPr>
          <w:sz w:val="16"/>
          <w:szCs w:val="16"/>
        </w:rPr>
      </w:pPr>
      <w:r w:rsidRPr="00AD19D2">
        <w:rPr>
          <w:sz w:val="16"/>
          <w:szCs w:val="16"/>
        </w:rPr>
        <w:t>Electronic document © Commonwealth of Australia 2015</w:t>
      </w:r>
    </w:p>
    <w:p w:rsidR="00AD19D2" w:rsidRPr="00AD19D2" w:rsidRDefault="00AD19D2" w:rsidP="00DB1652">
      <w:pPr>
        <w:pStyle w:val="NoSpacing"/>
        <w:spacing w:after="60"/>
        <w:rPr>
          <w:sz w:val="16"/>
          <w:szCs w:val="16"/>
        </w:rPr>
      </w:pPr>
      <w:r w:rsidRPr="00AD19D2">
        <w:rPr>
          <w:sz w:val="16"/>
          <w:szCs w:val="16"/>
        </w:rPr>
        <w:t xml:space="preserve">This work is copyright. You may download, display, print and reproduce the whole or part of this work in unaltered form for your own personal use or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IHPA to do so. Requests and enquiries concerning reproduction and rights are to be sent to Communication Manager, IHPA, PO Box 483, Darlinghurst NSW 1300 or via email to communications.ihpa@ihpa.gov.au </w:t>
      </w:r>
    </w:p>
    <w:p w:rsidR="00406578" w:rsidRPr="00406578" w:rsidRDefault="00AD19D2" w:rsidP="00DB1652">
      <w:pPr>
        <w:pStyle w:val="NoSpacing"/>
        <w:spacing w:after="60"/>
      </w:pPr>
      <w:r w:rsidRPr="00AD19D2">
        <w:rPr>
          <w:sz w:val="16"/>
          <w:szCs w:val="16"/>
        </w:rPr>
        <w:t>Suggested citation: Independent Hospital Pricing Authority (2015), Independent Hospital Pricing Authority Annual Report 2014–15</w:t>
      </w:r>
    </w:p>
    <w:p w:rsidR="00CC586D" w:rsidRDefault="00CC586D" w:rsidP="00CC586D">
      <w:pPr>
        <w:sectPr w:rsidR="00CC586D" w:rsidSect="00A00884">
          <w:headerReference w:type="default" r:id="rId10"/>
          <w:footerReference w:type="default" r:id="rId11"/>
          <w:pgSz w:w="11906" w:h="16838" w:code="9"/>
          <w:pgMar w:top="1021" w:right="3232" w:bottom="567" w:left="1021" w:header="567" w:footer="510" w:gutter="0"/>
          <w:pgNumType w:fmt="lowerRoman"/>
          <w:cols w:space="708"/>
          <w:vAlign w:val="bottom"/>
          <w:docGrid w:linePitch="360"/>
        </w:sectPr>
      </w:pPr>
    </w:p>
    <w:p w:rsidR="004B4BC0" w:rsidRDefault="002256A8" w:rsidP="002256A8">
      <w:pPr>
        <w:pStyle w:val="Heading1"/>
      </w:pPr>
      <w:bookmarkStart w:id="2" w:name="_Toc432437392"/>
      <w:r>
        <w:lastRenderedPageBreak/>
        <w:t>Preface</w:t>
      </w:r>
      <w:bookmarkEnd w:id="2"/>
    </w:p>
    <w:p w:rsidR="00070681" w:rsidRDefault="00070681" w:rsidP="00070681">
      <w:pPr>
        <w:pStyle w:val="Intro"/>
      </w:pPr>
      <w:r>
        <w:t xml:space="preserve">The Independent </w:t>
      </w:r>
      <w:r w:rsidRPr="002256A8">
        <w:t>Hospital</w:t>
      </w:r>
      <w:r>
        <w:t xml:space="preserve"> Pricing Authority (IHPA) Annual Report 2014–15 starts with a letter from IHPA’s Acting Chief Executive Officer (CEO), James Downie, to the Minister for Health, asking the Minister to present the Annual Report to Parliament.</w:t>
      </w:r>
    </w:p>
    <w:p w:rsidR="00070681" w:rsidRDefault="002256A8" w:rsidP="00070681">
      <w:r w:rsidRPr="002256A8">
        <w:rPr>
          <w:rStyle w:val="Strong"/>
        </w:rPr>
        <w:t xml:space="preserve">Page </w:t>
      </w:r>
      <w:r w:rsidR="00282671">
        <w:rPr>
          <w:rStyle w:val="Strong"/>
        </w:rPr>
        <w:t>4</w:t>
      </w:r>
      <w:r w:rsidRPr="002256A8">
        <w:rPr>
          <w:rStyle w:val="Strong"/>
        </w:rPr>
        <w:t xml:space="preserve">: </w:t>
      </w:r>
      <w:r w:rsidR="00070681" w:rsidRPr="002256A8">
        <w:rPr>
          <w:rStyle w:val="Strong"/>
        </w:rPr>
        <w:t>Introduction</w:t>
      </w:r>
      <w:r w:rsidR="00070681">
        <w:t>—the Annual Report introduction provides an explanation of the role of IHPA including commentary about the legislation that underpins IHPA’s existence. It also sets out IHPA’s vision, mission and values as specified in IHPA’s strategic plan.</w:t>
      </w:r>
    </w:p>
    <w:p w:rsidR="00070681" w:rsidRDefault="002256A8" w:rsidP="00070681">
      <w:r w:rsidRPr="002256A8">
        <w:rPr>
          <w:rStyle w:val="Strong"/>
        </w:rPr>
        <w:t xml:space="preserve">Page </w:t>
      </w:r>
      <w:r w:rsidR="00282671">
        <w:rPr>
          <w:rStyle w:val="Strong"/>
        </w:rPr>
        <w:t>11</w:t>
      </w:r>
      <w:r w:rsidRPr="002256A8">
        <w:rPr>
          <w:rStyle w:val="Strong"/>
        </w:rPr>
        <w:t xml:space="preserve">: </w:t>
      </w:r>
      <w:r w:rsidR="00070681" w:rsidRPr="002256A8">
        <w:rPr>
          <w:rStyle w:val="Strong"/>
        </w:rPr>
        <w:t>Chapter 1: Overview</w:t>
      </w:r>
      <w:r w:rsidR="00070681">
        <w:t>—this section provides an overview of IHPA’s role and a welcome from the Chair and CEO. It also reports on the highlights and achievements for 2014–15 as well as looking forward to what IHPA plans to achieve next year.</w:t>
      </w:r>
    </w:p>
    <w:p w:rsidR="00070681" w:rsidRDefault="002256A8" w:rsidP="00070681">
      <w:r w:rsidRPr="002256A8">
        <w:rPr>
          <w:b/>
        </w:rPr>
        <w:t xml:space="preserve">Page </w:t>
      </w:r>
      <w:r w:rsidR="00282671">
        <w:rPr>
          <w:b/>
        </w:rPr>
        <w:t>29</w:t>
      </w:r>
      <w:r w:rsidRPr="002256A8">
        <w:rPr>
          <w:b/>
        </w:rPr>
        <w:t xml:space="preserve">: </w:t>
      </w:r>
      <w:r w:rsidR="00070681" w:rsidRPr="002256A8">
        <w:rPr>
          <w:b/>
        </w:rPr>
        <w:t>Chapter 2: Clinical Advisory Committee Annual Report</w:t>
      </w:r>
      <w:r w:rsidR="00070681">
        <w:t xml:space="preserve">—as required by s. 178 of the </w:t>
      </w:r>
      <w:r w:rsidR="00070681" w:rsidRPr="002256A8">
        <w:rPr>
          <w:i/>
        </w:rPr>
        <w:t>National Health Reform Act 2011</w:t>
      </w:r>
      <w:r w:rsidR="00070681">
        <w:t>, this section provides the Annual Report on behalf of the Clinical Advisory Committee.</w:t>
      </w:r>
    </w:p>
    <w:p w:rsidR="00070681" w:rsidRDefault="002256A8" w:rsidP="00070681">
      <w:r w:rsidRPr="002256A8">
        <w:rPr>
          <w:b/>
        </w:rPr>
        <w:t xml:space="preserve">Page </w:t>
      </w:r>
      <w:r w:rsidR="00282671">
        <w:rPr>
          <w:b/>
        </w:rPr>
        <w:t>36</w:t>
      </w:r>
      <w:r w:rsidRPr="002256A8">
        <w:rPr>
          <w:b/>
        </w:rPr>
        <w:t xml:space="preserve">: </w:t>
      </w:r>
      <w:r w:rsidR="00070681" w:rsidRPr="002256A8">
        <w:rPr>
          <w:b/>
        </w:rPr>
        <w:t>Chapter 3: Performance reporting</w:t>
      </w:r>
      <w:r w:rsidR="00070681">
        <w:t>—a full report is provided detailing IHPA’s specific program areas and policy development as they relate to our Portfolio Budget Statements 2014–15. This section also provides some key highlights of IHPA’s work during 2014–15.</w:t>
      </w:r>
    </w:p>
    <w:p w:rsidR="00070681" w:rsidRDefault="002256A8" w:rsidP="00070681">
      <w:r w:rsidRPr="002256A8">
        <w:rPr>
          <w:b/>
        </w:rPr>
        <w:t xml:space="preserve">Page </w:t>
      </w:r>
      <w:r w:rsidR="00282671">
        <w:rPr>
          <w:b/>
        </w:rPr>
        <w:t>47</w:t>
      </w:r>
      <w:r w:rsidRPr="002256A8">
        <w:rPr>
          <w:b/>
        </w:rPr>
        <w:t xml:space="preserve">: </w:t>
      </w:r>
      <w:r w:rsidR="00070681" w:rsidRPr="002256A8">
        <w:rPr>
          <w:b/>
        </w:rPr>
        <w:t>Chapter 4: Management and accountability</w:t>
      </w:r>
      <w:r w:rsidR="00070681">
        <w:t xml:space="preserve">—this chapter reports on our corporate governance, people management and corporate planning activities as well as compliance with external legislative requirements. </w:t>
      </w:r>
    </w:p>
    <w:p w:rsidR="00070681" w:rsidRDefault="002256A8" w:rsidP="00070681">
      <w:r w:rsidRPr="002256A8">
        <w:rPr>
          <w:b/>
        </w:rPr>
        <w:t xml:space="preserve">Page </w:t>
      </w:r>
      <w:r w:rsidR="00282671">
        <w:rPr>
          <w:b/>
        </w:rPr>
        <w:t>63</w:t>
      </w:r>
      <w:r w:rsidRPr="002256A8">
        <w:rPr>
          <w:b/>
        </w:rPr>
        <w:t xml:space="preserve">: </w:t>
      </w:r>
      <w:r w:rsidR="00070681" w:rsidRPr="002256A8">
        <w:rPr>
          <w:b/>
        </w:rPr>
        <w:t>Chapter 5: Financial management</w:t>
      </w:r>
      <w:r w:rsidR="00070681">
        <w:t>—a discussion and analysis of IHPA’s financial performance, the independent auditor’s report, a signed statement by the CEO and Chief Financial Officer and a complete set of financial statements for IHPA from 1 July 2014 – 30 June 2015.</w:t>
      </w:r>
    </w:p>
    <w:p w:rsidR="004B4BC0" w:rsidRDefault="002256A8" w:rsidP="00070681">
      <w:r w:rsidRPr="002256A8">
        <w:rPr>
          <w:b/>
        </w:rPr>
        <w:t xml:space="preserve">Page </w:t>
      </w:r>
      <w:r w:rsidR="00282671">
        <w:rPr>
          <w:b/>
        </w:rPr>
        <w:t>104</w:t>
      </w:r>
      <w:r w:rsidRPr="002256A8">
        <w:rPr>
          <w:b/>
        </w:rPr>
        <w:t xml:space="preserve">: </w:t>
      </w:r>
      <w:r w:rsidR="00070681">
        <w:t xml:space="preserve">The </w:t>
      </w:r>
      <w:r w:rsidR="00070681" w:rsidRPr="002256A8">
        <w:rPr>
          <w:b/>
        </w:rPr>
        <w:t>appendices</w:t>
      </w:r>
      <w:r w:rsidR="00070681">
        <w:t xml:space="preserve"> include information about freedom of information, marketing and advertising, legal services expenditure, a resource statement and resources for outcomes, as well as a list of abbreviations, a glossary, a legislative compliance index and an alphabetical index.</w:t>
      </w:r>
    </w:p>
    <w:p w:rsidR="002256A8" w:rsidRDefault="002256A8" w:rsidP="00070681">
      <w:r>
        <w:br w:type="page"/>
      </w:r>
    </w:p>
    <w:p w:rsidR="002256A8" w:rsidRDefault="002256A8" w:rsidP="002256A8">
      <w:pPr>
        <w:pStyle w:val="Heading1"/>
      </w:pPr>
      <w:bookmarkStart w:id="3" w:name="_Toc432437393"/>
      <w:r w:rsidRPr="002256A8">
        <w:lastRenderedPageBreak/>
        <w:t>Letter of transmittal</w:t>
      </w:r>
      <w:bookmarkEnd w:id="3"/>
    </w:p>
    <w:p w:rsidR="002256A8" w:rsidRPr="004B4BC0" w:rsidRDefault="00930669" w:rsidP="00070681">
      <w:r>
        <w:rPr>
          <w:noProof/>
        </w:rPr>
        <w:drawing>
          <wp:inline distT="0" distB="0" distL="0" distR="0" wp14:anchorId="465237C2" wp14:editId="5B31D93A">
            <wp:extent cx="4859655" cy="6886575"/>
            <wp:effectExtent l="0" t="0" r="0" b="9525"/>
            <wp:docPr id="4" name="Picture 4" descr="The Hon. Sussan Ley, MP &#10;Minister for Health &#10;Parliament House &#10;Canberra ACT 2600 &#10;Dear Minister, &#10;In accordance with the requirements of the National Health Reform Act 2011 and the Public Governance, Performance and Accountability Act 2013, I am pleased to submit to you, for presentation to Parliament, the annual report and financial statements of the Independent Hospital Pricing Authority (IHPA) for the financial year ended 30 June 2015. &#10;The report reflects the Requirements for Annual Reports approved by the Joint Committee of Public Accounts and Audit under s. 63 and 70 of the Public Service Act 1999 and includes IHPA’s audited financial statements as required by the Public Governance, Performance and Accountability Act 2013. &#10;Yours sincerely, &#10;James Downie &#10;Acting Chief Executive Officer &#10;Independent Hospital Pricing Authority &#10;2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655" cy="6886575"/>
                    </a:xfrm>
                    <a:prstGeom prst="rect">
                      <a:avLst/>
                    </a:prstGeom>
                  </pic:spPr>
                </pic:pic>
              </a:graphicData>
            </a:graphic>
          </wp:inline>
        </w:drawing>
      </w:r>
    </w:p>
    <w:p w:rsidR="004B4BC0" w:rsidRDefault="004B4BC0" w:rsidP="004B4BC0">
      <w:r>
        <w:br w:type="page"/>
      </w:r>
    </w:p>
    <w:p w:rsidR="004C777E" w:rsidRDefault="004C777E" w:rsidP="004C777E">
      <w:pPr>
        <w:pStyle w:val="TOCHeading"/>
      </w:pPr>
      <w:r>
        <w:lastRenderedPageBreak/>
        <w:t>contents</w:t>
      </w:r>
    </w:p>
    <w:p w:rsidR="008B06C5" w:rsidRDefault="003155F4" w:rsidP="00135B7E">
      <w:pPr>
        <w:pStyle w:val="TOC1"/>
        <w:rPr>
          <w:rFonts w:asciiTheme="minorHAnsi" w:eastAsiaTheme="minorEastAsia" w:hAnsiTheme="minorHAnsi" w:cstheme="minorBidi"/>
          <w:szCs w:val="22"/>
        </w:rPr>
      </w:pPr>
      <w:r>
        <w:fldChar w:fldCharType="begin"/>
      </w:r>
      <w:r>
        <w:instrText xml:space="preserve"> TOC \h \z \t "Heading 1,1" </w:instrText>
      </w:r>
      <w:r>
        <w:fldChar w:fldCharType="separate"/>
      </w:r>
      <w:hyperlink w:anchor="_Toc432437392" w:history="1">
        <w:r w:rsidR="008B06C5" w:rsidRPr="008B6757">
          <w:rPr>
            <w:rStyle w:val="Hyperlink"/>
          </w:rPr>
          <w:t>Preface</w:t>
        </w:r>
        <w:r w:rsidR="008B06C5">
          <w:rPr>
            <w:webHidden/>
          </w:rPr>
          <w:tab/>
        </w:r>
        <w:r w:rsidR="008B06C5">
          <w:rPr>
            <w:webHidden/>
          </w:rPr>
          <w:fldChar w:fldCharType="begin"/>
        </w:r>
        <w:r w:rsidR="008B06C5">
          <w:rPr>
            <w:webHidden/>
          </w:rPr>
          <w:instrText xml:space="preserve"> PAGEREF _Toc432437392 \h </w:instrText>
        </w:r>
        <w:r w:rsidR="008B06C5">
          <w:rPr>
            <w:webHidden/>
          </w:rPr>
        </w:r>
        <w:r w:rsidR="008B06C5">
          <w:rPr>
            <w:webHidden/>
          </w:rPr>
          <w:fldChar w:fldCharType="separate"/>
        </w:r>
        <w:r w:rsidR="00C92FE8">
          <w:rPr>
            <w:webHidden/>
          </w:rPr>
          <w:t>1</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3" w:history="1">
        <w:r w:rsidR="008B06C5" w:rsidRPr="008B6757">
          <w:rPr>
            <w:rStyle w:val="Hyperlink"/>
          </w:rPr>
          <w:t>Letter of transmittal</w:t>
        </w:r>
        <w:r w:rsidR="008B06C5">
          <w:rPr>
            <w:webHidden/>
          </w:rPr>
          <w:tab/>
        </w:r>
        <w:r w:rsidR="008B06C5">
          <w:rPr>
            <w:webHidden/>
          </w:rPr>
          <w:fldChar w:fldCharType="begin"/>
        </w:r>
        <w:r w:rsidR="008B06C5">
          <w:rPr>
            <w:webHidden/>
          </w:rPr>
          <w:instrText xml:space="preserve"> PAGEREF _Toc432437393 \h </w:instrText>
        </w:r>
        <w:r w:rsidR="008B06C5">
          <w:rPr>
            <w:webHidden/>
          </w:rPr>
        </w:r>
        <w:r w:rsidR="008B06C5">
          <w:rPr>
            <w:webHidden/>
          </w:rPr>
          <w:fldChar w:fldCharType="separate"/>
        </w:r>
        <w:r w:rsidR="00C92FE8">
          <w:rPr>
            <w:webHidden/>
          </w:rPr>
          <w:t>2</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4" w:history="1">
        <w:r w:rsidR="008B06C5" w:rsidRPr="008B6757">
          <w:rPr>
            <w:rStyle w:val="Hyperlink"/>
          </w:rPr>
          <w:t>Introduction</w:t>
        </w:r>
        <w:r w:rsidR="008B06C5">
          <w:rPr>
            <w:webHidden/>
          </w:rPr>
          <w:tab/>
        </w:r>
        <w:r w:rsidR="008B06C5">
          <w:rPr>
            <w:webHidden/>
          </w:rPr>
          <w:fldChar w:fldCharType="begin"/>
        </w:r>
        <w:r w:rsidR="008B06C5">
          <w:rPr>
            <w:webHidden/>
          </w:rPr>
          <w:instrText xml:space="preserve"> PAGEREF _Toc432437394 \h </w:instrText>
        </w:r>
        <w:r w:rsidR="008B06C5">
          <w:rPr>
            <w:webHidden/>
          </w:rPr>
        </w:r>
        <w:r w:rsidR="008B06C5">
          <w:rPr>
            <w:webHidden/>
          </w:rPr>
          <w:fldChar w:fldCharType="separate"/>
        </w:r>
        <w:r w:rsidR="00C92FE8">
          <w:rPr>
            <w:webHidden/>
          </w:rPr>
          <w:t>4</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5" w:history="1">
        <w:r w:rsidR="008B06C5" w:rsidRPr="008B06C5">
          <w:rPr>
            <w:rStyle w:val="Hyperlink"/>
            <w:b/>
          </w:rPr>
          <w:t>Chapter 1</w:t>
        </w:r>
        <w:r w:rsidR="008B06C5" w:rsidRPr="008B6757">
          <w:rPr>
            <w:rStyle w:val="Hyperlink"/>
          </w:rPr>
          <w:t xml:space="preserve"> Overview</w:t>
        </w:r>
        <w:r w:rsidR="008B06C5">
          <w:rPr>
            <w:webHidden/>
          </w:rPr>
          <w:tab/>
        </w:r>
        <w:r w:rsidR="008B06C5">
          <w:rPr>
            <w:webHidden/>
          </w:rPr>
          <w:fldChar w:fldCharType="begin"/>
        </w:r>
        <w:r w:rsidR="008B06C5">
          <w:rPr>
            <w:webHidden/>
          </w:rPr>
          <w:instrText xml:space="preserve"> PAGEREF _Toc432437395 \h </w:instrText>
        </w:r>
        <w:r w:rsidR="008B06C5">
          <w:rPr>
            <w:webHidden/>
          </w:rPr>
        </w:r>
        <w:r w:rsidR="008B06C5">
          <w:rPr>
            <w:webHidden/>
          </w:rPr>
          <w:fldChar w:fldCharType="separate"/>
        </w:r>
        <w:r w:rsidR="00C92FE8">
          <w:rPr>
            <w:webHidden/>
          </w:rPr>
          <w:t>11</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6" w:history="1">
        <w:r w:rsidR="008B06C5" w:rsidRPr="008B06C5">
          <w:rPr>
            <w:rStyle w:val="Hyperlink"/>
            <w:b/>
          </w:rPr>
          <w:t>Chapter 2</w:t>
        </w:r>
        <w:r w:rsidR="008B06C5" w:rsidRPr="008B6757">
          <w:rPr>
            <w:rStyle w:val="Hyperlink"/>
          </w:rPr>
          <w:t xml:space="preserve"> Clinical Advisory Committee Annual Report</w:t>
        </w:r>
        <w:r w:rsidR="008B06C5">
          <w:rPr>
            <w:webHidden/>
          </w:rPr>
          <w:tab/>
        </w:r>
        <w:r w:rsidR="008B06C5">
          <w:rPr>
            <w:webHidden/>
          </w:rPr>
          <w:fldChar w:fldCharType="begin"/>
        </w:r>
        <w:r w:rsidR="008B06C5">
          <w:rPr>
            <w:webHidden/>
          </w:rPr>
          <w:instrText xml:space="preserve"> PAGEREF _Toc432437396 \h </w:instrText>
        </w:r>
        <w:r w:rsidR="008B06C5">
          <w:rPr>
            <w:webHidden/>
          </w:rPr>
        </w:r>
        <w:r w:rsidR="008B06C5">
          <w:rPr>
            <w:webHidden/>
          </w:rPr>
          <w:fldChar w:fldCharType="separate"/>
        </w:r>
        <w:r w:rsidR="00C92FE8">
          <w:rPr>
            <w:webHidden/>
          </w:rPr>
          <w:t>29</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7" w:history="1">
        <w:r w:rsidR="008B06C5" w:rsidRPr="008B06C5">
          <w:rPr>
            <w:rStyle w:val="Hyperlink"/>
            <w:b/>
          </w:rPr>
          <w:t>Chapter 3</w:t>
        </w:r>
        <w:r w:rsidR="008B06C5" w:rsidRPr="008B6757">
          <w:rPr>
            <w:rStyle w:val="Hyperlink"/>
          </w:rPr>
          <w:t xml:space="preserve"> Performance Reporting</w:t>
        </w:r>
        <w:r w:rsidR="008B06C5">
          <w:rPr>
            <w:webHidden/>
          </w:rPr>
          <w:tab/>
        </w:r>
        <w:r w:rsidR="008B06C5">
          <w:rPr>
            <w:webHidden/>
          </w:rPr>
          <w:fldChar w:fldCharType="begin"/>
        </w:r>
        <w:r w:rsidR="008B06C5">
          <w:rPr>
            <w:webHidden/>
          </w:rPr>
          <w:instrText xml:space="preserve"> PAGEREF _Toc432437397 \h </w:instrText>
        </w:r>
        <w:r w:rsidR="008B06C5">
          <w:rPr>
            <w:webHidden/>
          </w:rPr>
        </w:r>
        <w:r w:rsidR="008B06C5">
          <w:rPr>
            <w:webHidden/>
          </w:rPr>
          <w:fldChar w:fldCharType="separate"/>
        </w:r>
        <w:r w:rsidR="00C92FE8">
          <w:rPr>
            <w:webHidden/>
          </w:rPr>
          <w:t>36</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8" w:history="1">
        <w:r w:rsidR="008B06C5" w:rsidRPr="008B06C5">
          <w:rPr>
            <w:rStyle w:val="Hyperlink"/>
            <w:b/>
          </w:rPr>
          <w:t>Chapter 4</w:t>
        </w:r>
        <w:r w:rsidR="008B06C5" w:rsidRPr="008B6757">
          <w:rPr>
            <w:rStyle w:val="Hyperlink"/>
          </w:rPr>
          <w:t xml:space="preserve"> Management and Accountability</w:t>
        </w:r>
        <w:r w:rsidR="008B06C5">
          <w:rPr>
            <w:webHidden/>
          </w:rPr>
          <w:tab/>
        </w:r>
        <w:r w:rsidR="008B06C5">
          <w:rPr>
            <w:webHidden/>
          </w:rPr>
          <w:fldChar w:fldCharType="begin"/>
        </w:r>
        <w:r w:rsidR="008B06C5">
          <w:rPr>
            <w:webHidden/>
          </w:rPr>
          <w:instrText xml:space="preserve"> PAGEREF _Toc432437398 \h </w:instrText>
        </w:r>
        <w:r w:rsidR="008B06C5">
          <w:rPr>
            <w:webHidden/>
          </w:rPr>
        </w:r>
        <w:r w:rsidR="008B06C5">
          <w:rPr>
            <w:webHidden/>
          </w:rPr>
          <w:fldChar w:fldCharType="separate"/>
        </w:r>
        <w:r w:rsidR="00C92FE8">
          <w:rPr>
            <w:webHidden/>
          </w:rPr>
          <w:t>47</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399" w:history="1">
        <w:r w:rsidR="008B06C5" w:rsidRPr="008B06C5">
          <w:rPr>
            <w:rStyle w:val="Hyperlink"/>
            <w:b/>
          </w:rPr>
          <w:t>Chapter 5</w:t>
        </w:r>
        <w:r w:rsidR="008B06C5" w:rsidRPr="008B6757">
          <w:rPr>
            <w:rStyle w:val="Hyperlink"/>
          </w:rPr>
          <w:t xml:space="preserve"> Financial Management</w:t>
        </w:r>
        <w:r w:rsidR="008B06C5">
          <w:rPr>
            <w:webHidden/>
          </w:rPr>
          <w:tab/>
        </w:r>
        <w:r w:rsidR="008B06C5">
          <w:rPr>
            <w:webHidden/>
          </w:rPr>
          <w:fldChar w:fldCharType="begin"/>
        </w:r>
        <w:r w:rsidR="008B06C5">
          <w:rPr>
            <w:webHidden/>
          </w:rPr>
          <w:instrText xml:space="preserve"> PAGEREF _Toc432437399 \h </w:instrText>
        </w:r>
        <w:r w:rsidR="008B06C5">
          <w:rPr>
            <w:webHidden/>
          </w:rPr>
        </w:r>
        <w:r w:rsidR="008B06C5">
          <w:rPr>
            <w:webHidden/>
          </w:rPr>
          <w:fldChar w:fldCharType="separate"/>
        </w:r>
        <w:r w:rsidR="00C92FE8">
          <w:rPr>
            <w:webHidden/>
          </w:rPr>
          <w:t>63</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0" w:history="1">
        <w:r w:rsidR="008B06C5" w:rsidRPr="008B06C5">
          <w:rPr>
            <w:rStyle w:val="Hyperlink"/>
            <w:b/>
          </w:rPr>
          <w:t>Appendix A</w:t>
        </w:r>
        <w:r w:rsidR="008B06C5" w:rsidRPr="008B6757">
          <w:rPr>
            <w:rStyle w:val="Hyperlink"/>
          </w:rPr>
          <w:t xml:space="preserve"> Further Information</w:t>
        </w:r>
        <w:r w:rsidR="008B06C5">
          <w:rPr>
            <w:webHidden/>
          </w:rPr>
          <w:tab/>
        </w:r>
        <w:r w:rsidR="008B06C5">
          <w:rPr>
            <w:webHidden/>
          </w:rPr>
          <w:fldChar w:fldCharType="begin"/>
        </w:r>
        <w:r w:rsidR="008B06C5">
          <w:rPr>
            <w:webHidden/>
          </w:rPr>
          <w:instrText xml:space="preserve"> PAGEREF _Toc432437400 \h </w:instrText>
        </w:r>
        <w:r w:rsidR="008B06C5">
          <w:rPr>
            <w:webHidden/>
          </w:rPr>
        </w:r>
        <w:r w:rsidR="008B06C5">
          <w:rPr>
            <w:webHidden/>
          </w:rPr>
          <w:fldChar w:fldCharType="separate"/>
        </w:r>
        <w:r w:rsidR="00C92FE8">
          <w:rPr>
            <w:webHidden/>
          </w:rPr>
          <w:t>104</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1" w:history="1">
        <w:r w:rsidR="008B06C5" w:rsidRPr="008B06C5">
          <w:rPr>
            <w:rStyle w:val="Hyperlink"/>
            <w:b/>
          </w:rPr>
          <w:t xml:space="preserve">Appendix B </w:t>
        </w:r>
        <w:r w:rsidR="008B06C5" w:rsidRPr="008B6757">
          <w:rPr>
            <w:rStyle w:val="Hyperlink"/>
          </w:rPr>
          <w:t>Resource Statement and Expenses by Outcome</w:t>
        </w:r>
        <w:r w:rsidR="008B06C5">
          <w:rPr>
            <w:webHidden/>
          </w:rPr>
          <w:tab/>
        </w:r>
        <w:r w:rsidR="008B06C5">
          <w:rPr>
            <w:webHidden/>
          </w:rPr>
          <w:fldChar w:fldCharType="begin"/>
        </w:r>
        <w:r w:rsidR="008B06C5">
          <w:rPr>
            <w:webHidden/>
          </w:rPr>
          <w:instrText xml:space="preserve"> PAGEREF _Toc432437401 \h </w:instrText>
        </w:r>
        <w:r w:rsidR="008B06C5">
          <w:rPr>
            <w:webHidden/>
          </w:rPr>
        </w:r>
        <w:r w:rsidR="008B06C5">
          <w:rPr>
            <w:webHidden/>
          </w:rPr>
          <w:fldChar w:fldCharType="separate"/>
        </w:r>
        <w:r w:rsidR="00C92FE8">
          <w:rPr>
            <w:webHidden/>
          </w:rPr>
          <w:t>108</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2" w:history="1">
        <w:r w:rsidR="008B06C5" w:rsidRPr="008B06C5">
          <w:rPr>
            <w:rStyle w:val="Hyperlink"/>
            <w:b/>
          </w:rPr>
          <w:t>Appendix C</w:t>
        </w:r>
        <w:r w:rsidR="008B06C5" w:rsidRPr="008B6757">
          <w:rPr>
            <w:rStyle w:val="Hyperlink"/>
          </w:rPr>
          <w:t xml:space="preserve"> Acronyms and Abbreviations</w:t>
        </w:r>
        <w:r w:rsidR="008B06C5">
          <w:rPr>
            <w:webHidden/>
          </w:rPr>
          <w:tab/>
        </w:r>
        <w:r w:rsidR="008B06C5">
          <w:rPr>
            <w:webHidden/>
          </w:rPr>
          <w:fldChar w:fldCharType="begin"/>
        </w:r>
        <w:r w:rsidR="008B06C5">
          <w:rPr>
            <w:webHidden/>
          </w:rPr>
          <w:instrText xml:space="preserve"> PAGEREF _Toc432437402 \h </w:instrText>
        </w:r>
        <w:r w:rsidR="008B06C5">
          <w:rPr>
            <w:webHidden/>
          </w:rPr>
        </w:r>
        <w:r w:rsidR="008B06C5">
          <w:rPr>
            <w:webHidden/>
          </w:rPr>
          <w:fldChar w:fldCharType="separate"/>
        </w:r>
        <w:r w:rsidR="00C92FE8">
          <w:rPr>
            <w:webHidden/>
          </w:rPr>
          <w:t>110</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3" w:history="1">
        <w:r w:rsidR="008B06C5" w:rsidRPr="008B06C5">
          <w:rPr>
            <w:rStyle w:val="Hyperlink"/>
            <w:b/>
          </w:rPr>
          <w:t>Appendix D</w:t>
        </w:r>
        <w:r w:rsidR="008B06C5" w:rsidRPr="008B6757">
          <w:rPr>
            <w:rStyle w:val="Hyperlink"/>
          </w:rPr>
          <w:t xml:space="preserve"> Glossary</w:t>
        </w:r>
        <w:r w:rsidR="008B06C5">
          <w:rPr>
            <w:webHidden/>
          </w:rPr>
          <w:tab/>
        </w:r>
        <w:r w:rsidR="008B06C5">
          <w:rPr>
            <w:webHidden/>
          </w:rPr>
          <w:fldChar w:fldCharType="begin"/>
        </w:r>
        <w:r w:rsidR="008B06C5">
          <w:rPr>
            <w:webHidden/>
          </w:rPr>
          <w:instrText xml:space="preserve"> PAGEREF _Toc432437403 \h </w:instrText>
        </w:r>
        <w:r w:rsidR="008B06C5">
          <w:rPr>
            <w:webHidden/>
          </w:rPr>
        </w:r>
        <w:r w:rsidR="008B06C5">
          <w:rPr>
            <w:webHidden/>
          </w:rPr>
          <w:fldChar w:fldCharType="separate"/>
        </w:r>
        <w:r w:rsidR="00C92FE8">
          <w:rPr>
            <w:webHidden/>
          </w:rPr>
          <w:t>113</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4" w:history="1">
        <w:r w:rsidR="008B06C5" w:rsidRPr="008B06C5">
          <w:rPr>
            <w:rStyle w:val="Hyperlink"/>
            <w:b/>
          </w:rPr>
          <w:t>Appendix E</w:t>
        </w:r>
        <w:r w:rsidR="008B06C5" w:rsidRPr="008B6757">
          <w:rPr>
            <w:rStyle w:val="Hyperlink"/>
          </w:rPr>
          <w:t xml:space="preserve"> Compliance Index</w:t>
        </w:r>
        <w:r w:rsidR="008B06C5">
          <w:rPr>
            <w:webHidden/>
          </w:rPr>
          <w:tab/>
        </w:r>
        <w:r w:rsidR="008B06C5">
          <w:rPr>
            <w:webHidden/>
          </w:rPr>
          <w:fldChar w:fldCharType="begin"/>
        </w:r>
        <w:r w:rsidR="008B06C5">
          <w:rPr>
            <w:webHidden/>
          </w:rPr>
          <w:instrText xml:space="preserve"> PAGEREF _Toc432437404 \h </w:instrText>
        </w:r>
        <w:r w:rsidR="008B06C5">
          <w:rPr>
            <w:webHidden/>
          </w:rPr>
        </w:r>
        <w:r w:rsidR="008B06C5">
          <w:rPr>
            <w:webHidden/>
          </w:rPr>
          <w:fldChar w:fldCharType="separate"/>
        </w:r>
        <w:r w:rsidR="00C92FE8">
          <w:rPr>
            <w:webHidden/>
          </w:rPr>
          <w:t>117</w:t>
        </w:r>
        <w:r w:rsidR="008B06C5">
          <w:rPr>
            <w:webHidden/>
          </w:rPr>
          <w:fldChar w:fldCharType="end"/>
        </w:r>
      </w:hyperlink>
    </w:p>
    <w:p w:rsidR="008B06C5" w:rsidRDefault="00825F9D" w:rsidP="00135B7E">
      <w:pPr>
        <w:pStyle w:val="TOC1"/>
        <w:rPr>
          <w:rFonts w:asciiTheme="minorHAnsi" w:eastAsiaTheme="minorEastAsia" w:hAnsiTheme="minorHAnsi" w:cstheme="minorBidi"/>
          <w:szCs w:val="22"/>
        </w:rPr>
      </w:pPr>
      <w:hyperlink w:anchor="_Toc432437405" w:history="1">
        <w:r w:rsidR="008B06C5" w:rsidRPr="008B06C5">
          <w:rPr>
            <w:rStyle w:val="Hyperlink"/>
            <w:b/>
          </w:rPr>
          <w:t>Appendix F</w:t>
        </w:r>
        <w:r w:rsidR="008B06C5" w:rsidRPr="008B6757">
          <w:rPr>
            <w:rStyle w:val="Hyperlink"/>
          </w:rPr>
          <w:t xml:space="preserve"> Index</w:t>
        </w:r>
        <w:r w:rsidR="008B06C5">
          <w:rPr>
            <w:webHidden/>
          </w:rPr>
          <w:tab/>
        </w:r>
        <w:r w:rsidR="008B06C5">
          <w:rPr>
            <w:webHidden/>
          </w:rPr>
          <w:fldChar w:fldCharType="begin"/>
        </w:r>
        <w:r w:rsidR="008B06C5">
          <w:rPr>
            <w:webHidden/>
          </w:rPr>
          <w:instrText xml:space="preserve"> PAGEREF _Toc432437405 \h </w:instrText>
        </w:r>
        <w:r w:rsidR="008B06C5">
          <w:rPr>
            <w:webHidden/>
          </w:rPr>
        </w:r>
        <w:r w:rsidR="008B06C5">
          <w:rPr>
            <w:webHidden/>
          </w:rPr>
          <w:fldChar w:fldCharType="separate"/>
        </w:r>
        <w:r w:rsidR="00C92FE8">
          <w:rPr>
            <w:webHidden/>
          </w:rPr>
          <w:t>122</w:t>
        </w:r>
        <w:r w:rsidR="008B06C5">
          <w:rPr>
            <w:webHidden/>
          </w:rPr>
          <w:fldChar w:fldCharType="end"/>
        </w:r>
      </w:hyperlink>
    </w:p>
    <w:p w:rsidR="004C777E" w:rsidRDefault="003155F4" w:rsidP="004C777E">
      <w:r>
        <w:rPr>
          <w:noProof/>
          <w:sz w:val="28"/>
        </w:rPr>
        <w:fldChar w:fldCharType="end"/>
      </w:r>
      <w:r w:rsidR="004C777E">
        <w:br w:type="page"/>
      </w:r>
    </w:p>
    <w:p w:rsidR="00D92300" w:rsidRPr="004225DC" w:rsidRDefault="004225DC" w:rsidP="00D92300">
      <w:pPr>
        <w:pStyle w:val="Heading1"/>
        <w:rPr>
          <w:color w:val="FFFFFF" w:themeColor="background1"/>
        </w:rPr>
      </w:pPr>
      <w:bookmarkStart w:id="4" w:name="_Toc432437394"/>
      <w:r w:rsidRPr="004225DC">
        <w:rPr>
          <w:noProof/>
          <w:color w:val="FFFFFF" w:themeColor="background1"/>
        </w:rPr>
        <w:lastRenderedPageBreak/>
        <w:drawing>
          <wp:anchor distT="0" distB="0" distL="114300" distR="114300" simplePos="0" relativeHeight="251652096" behindDoc="1" locked="0" layoutInCell="0" allowOverlap="1" wp14:anchorId="2267786A" wp14:editId="76833506">
            <wp:simplePos x="0" y="0"/>
            <wp:positionH relativeFrom="page">
              <wp:align>left</wp:align>
            </wp:positionH>
            <wp:positionV relativeFrom="page">
              <wp:align>top</wp:align>
            </wp:positionV>
            <wp:extent cx="7560000" cy="106920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D801FC" w:rsidRPr="004225DC">
        <w:rPr>
          <w:color w:val="FFFFFF" w:themeColor="background1"/>
        </w:rPr>
        <w:t>I</w:t>
      </w:r>
      <w:r w:rsidR="00D92300" w:rsidRPr="004225DC">
        <w:rPr>
          <w:color w:val="FFFFFF" w:themeColor="background1"/>
        </w:rPr>
        <w:t>ntroduction</w:t>
      </w:r>
      <w:bookmarkEnd w:id="4"/>
    </w:p>
    <w:p w:rsidR="004225DC" w:rsidRDefault="004225DC" w:rsidP="00D92300">
      <w:pPr>
        <w:pStyle w:val="Intro"/>
      </w:pPr>
      <w:r>
        <w:br w:type="page"/>
      </w:r>
    </w:p>
    <w:p w:rsidR="004225DC" w:rsidRDefault="004225DC" w:rsidP="004225DC">
      <w:pPr>
        <w:pStyle w:val="Heading2"/>
      </w:pPr>
      <w:r>
        <w:lastRenderedPageBreak/>
        <w:t>Background</w:t>
      </w:r>
    </w:p>
    <w:p w:rsidR="004225DC" w:rsidRPr="004225DC" w:rsidRDefault="004225DC" w:rsidP="004225DC">
      <w:pPr>
        <w:pStyle w:val="Intro"/>
      </w:pPr>
      <w:r w:rsidRPr="004225DC">
        <w:t xml:space="preserve">The Independent Hospital Pricing Authority (IHPA) is an independent statutory agency established under Commonwealth legislation on 15 December 2011. IHPA formed part of the implementation of the National Health Reform Agreement (NHRA) reached by the Council of Australian Governments (COAG) in August 2011. </w:t>
      </w:r>
    </w:p>
    <w:p w:rsidR="004225DC" w:rsidRPr="004225DC" w:rsidRDefault="004225DC" w:rsidP="004225DC">
      <w:pPr>
        <w:rPr>
          <w:lang w:val="en-GB"/>
        </w:rPr>
      </w:pPr>
      <w:r w:rsidRPr="004225DC">
        <w:rPr>
          <w:lang w:val="en-GB"/>
        </w:rPr>
        <w:t xml:space="preserve">The NHRA sets out the intention of the Australian Government and state and territory governments to work in partnership to improve health outcomes for all Australians. </w:t>
      </w:r>
    </w:p>
    <w:p w:rsidR="004225DC" w:rsidRPr="004225DC" w:rsidRDefault="004225DC" w:rsidP="004225DC">
      <w:pPr>
        <w:rPr>
          <w:lang w:val="en-GB"/>
        </w:rPr>
      </w:pPr>
      <w:r w:rsidRPr="004225DC">
        <w:rPr>
          <w:lang w:val="en-GB"/>
        </w:rPr>
        <w:t>A key component of the NHRA was the introduction of Activity Based Funding (ABF) as a methodology for funding public hospital services throughout Australia. IHPA was formed to deliver a number of the key decisions that underpinned the establishment of ABF across Australia.</w:t>
      </w:r>
    </w:p>
    <w:p w:rsidR="004225DC" w:rsidRPr="004225DC" w:rsidRDefault="004225DC" w:rsidP="004225DC">
      <w:pPr>
        <w:rPr>
          <w:lang w:val="en-GB"/>
        </w:rPr>
      </w:pPr>
      <w:r w:rsidRPr="004225DC">
        <w:rPr>
          <w:lang w:val="en-GB"/>
        </w:rPr>
        <w:t>ABF aims to improve transparency of public hospital funding and strengthen incentives for efficiency in the delivery of public hospital services across Australia.</w:t>
      </w:r>
    </w:p>
    <w:p w:rsidR="004225DC" w:rsidRPr="004225DC" w:rsidRDefault="004225DC" w:rsidP="004225DC">
      <w:pPr>
        <w:rPr>
          <w:lang w:val="en-GB"/>
        </w:rPr>
      </w:pPr>
      <w:r w:rsidRPr="004225DC">
        <w:rPr>
          <w:lang w:val="en-GB"/>
        </w:rPr>
        <w:t xml:space="preserve">IHPA is charged with determining the National Efficient Price (NEP) and the National Efficient Cost (NEC) for public hospital services. This ensures that public hospitals receive funding based on unit costs and encourages developments in best practice care across the healthcare system. </w:t>
      </w:r>
    </w:p>
    <w:p w:rsidR="004225DC" w:rsidRPr="004225DC" w:rsidRDefault="004225DC" w:rsidP="004225DC">
      <w:pPr>
        <w:rPr>
          <w:lang w:val="en-GB"/>
        </w:rPr>
      </w:pPr>
      <w:r w:rsidRPr="004225DC">
        <w:rPr>
          <w:lang w:val="en-GB"/>
        </w:rPr>
        <w:t xml:space="preserve">In accordance with s. 210 of the </w:t>
      </w:r>
      <w:r w:rsidRPr="004225DC">
        <w:rPr>
          <w:i/>
          <w:iCs/>
          <w:lang w:val="en-GB"/>
        </w:rPr>
        <w:t>National Health Reform Act 2011</w:t>
      </w:r>
      <w:r w:rsidRPr="004225DC">
        <w:rPr>
          <w:lang w:val="en-GB"/>
        </w:rPr>
        <w:t xml:space="preserve"> (the Act) this Annual Report provides a review of the work performed by IHPA during the last financial year. This includes information and advice given by the Pricing Authority as required in s. 131 (1)(g) of the Act. This report also includes the Clinical Advisory Committee’s Annual Report for 2014–15.</w:t>
      </w:r>
    </w:p>
    <w:p w:rsidR="008E6306" w:rsidRDefault="008E6306" w:rsidP="004225DC">
      <w:r>
        <w:br w:type="page"/>
      </w:r>
    </w:p>
    <w:p w:rsidR="00D92300" w:rsidRDefault="008E6306" w:rsidP="008E6306">
      <w:pPr>
        <w:pStyle w:val="Heading2"/>
      </w:pPr>
      <w:r w:rsidRPr="008E6306">
        <w:lastRenderedPageBreak/>
        <w:t>About IHPA</w:t>
      </w:r>
    </w:p>
    <w:p w:rsidR="008E6306" w:rsidRPr="008E6306" w:rsidRDefault="008E6306" w:rsidP="008E6306">
      <w:pPr>
        <w:pStyle w:val="Intro"/>
      </w:pPr>
      <w:r w:rsidRPr="008E6306">
        <w:t xml:space="preserve">The Independent Hospital Pricing Authority (IHPA) was established in 2011 under the </w:t>
      </w:r>
      <w:r w:rsidRPr="008E6306">
        <w:rPr>
          <w:i/>
        </w:rPr>
        <w:t>National Health Reform Act 2011</w:t>
      </w:r>
      <w:r w:rsidRPr="008E6306">
        <w:t xml:space="preserve"> (the Act).</w:t>
      </w:r>
    </w:p>
    <w:p w:rsidR="008E6306" w:rsidRPr="008E6306" w:rsidRDefault="008E6306" w:rsidP="008E6306">
      <w:pPr>
        <w:rPr>
          <w:lang w:val="en-GB"/>
        </w:rPr>
      </w:pPr>
      <w:r w:rsidRPr="008E6306">
        <w:rPr>
          <w:lang w:val="en-GB"/>
        </w:rPr>
        <w:t>IHPA is governed by the Pricing Authority which is made up of eight members who bring various skills, including experience in both health care needs and the provision of health care for people living in regional and rural areas.</w:t>
      </w:r>
    </w:p>
    <w:p w:rsidR="008E6306" w:rsidRPr="008E6306" w:rsidRDefault="008E6306" w:rsidP="008E6306">
      <w:pPr>
        <w:rPr>
          <w:lang w:val="en-GB"/>
        </w:rPr>
      </w:pPr>
      <w:r w:rsidRPr="008E6306">
        <w:rPr>
          <w:lang w:val="en-GB"/>
        </w:rPr>
        <w:t>The Pricing Authority is responsible for the performance of IHPA’s functions. Members of the Pricing Authority are appointed by the Australian Government Minister for Health, following nominations by the Council of Australian Governments (COAG). The Chair of the Pricing Authority reports directly to the Minister for Health. As outlined in the Act, the Minister is unable to direct the Determinations by the Pricing Authority on matters related to the Determination of the National Efficient Price (NEP) and National Efficient Cost (NEC).</w:t>
      </w:r>
    </w:p>
    <w:p w:rsidR="008E6306" w:rsidRPr="008E6306" w:rsidRDefault="008E6306" w:rsidP="008E6306">
      <w:pPr>
        <w:rPr>
          <w:lang w:val="en-GB"/>
        </w:rPr>
      </w:pPr>
      <w:r w:rsidRPr="008E6306">
        <w:rPr>
          <w:lang w:val="en-GB"/>
        </w:rPr>
        <w:t>The Pricing Authority is supported by a Chief Executive Officer, who is responsible for the day-to-day running of IHPA and its staff.</w:t>
      </w:r>
    </w:p>
    <w:p w:rsidR="008E6306" w:rsidRPr="008E6306" w:rsidRDefault="008E6306" w:rsidP="008E6306">
      <w:pPr>
        <w:rPr>
          <w:lang w:val="en-GB"/>
        </w:rPr>
      </w:pPr>
      <w:r w:rsidRPr="008E6306">
        <w:rPr>
          <w:lang w:val="en-GB"/>
        </w:rPr>
        <w:t xml:space="preserve">IHPA’s key role is to determine the NEP for public hospital services. The NEP is based on activity and cost data drawn from all states and territories across Australia. IHPA also determines a National Efficient Cost for services that are not suitable for Activity Based Funding (ABF), such as small rural hospitals. </w:t>
      </w:r>
    </w:p>
    <w:p w:rsidR="008E6306" w:rsidRPr="008E6306" w:rsidRDefault="008E6306" w:rsidP="008E6306">
      <w:pPr>
        <w:rPr>
          <w:lang w:val="en-GB"/>
        </w:rPr>
      </w:pPr>
      <w:r w:rsidRPr="008E6306">
        <w:rPr>
          <w:lang w:val="en-GB"/>
        </w:rPr>
        <w:t xml:space="preserve">To achieve its Work Program IHPA works in collaboration with all jurisdictions, advisory committees, key stakeholders and the public. Consultation is central to the development of IHPA’s work, including the annual development the </w:t>
      </w:r>
      <w:r w:rsidRPr="008E6306">
        <w:rPr>
          <w:i/>
          <w:iCs/>
          <w:lang w:val="en-GB"/>
        </w:rPr>
        <w:t>Pricing Framework for Australian Public Hospital Services</w:t>
      </w:r>
      <w:r w:rsidRPr="008E6306">
        <w:rPr>
          <w:lang w:val="en-GB"/>
        </w:rPr>
        <w:t xml:space="preserve"> which outlines the policy intentions for the NEP and NEC. </w:t>
      </w:r>
    </w:p>
    <w:p w:rsidR="008E6306" w:rsidRPr="008E6306" w:rsidRDefault="008E6306" w:rsidP="008E6306">
      <w:pPr>
        <w:rPr>
          <w:lang w:val="en-GB"/>
        </w:rPr>
      </w:pPr>
      <w:r w:rsidRPr="008E6306">
        <w:rPr>
          <w:lang w:val="en-GB"/>
        </w:rPr>
        <w:t>IHPA balances a range of national policy objectives, guided by a set of principles contained in the National Health Reform Agreement (NHRA) 2011. This includes IHPA ensuring reasonable access to public hospital services, clinical safety and quality, efficiency and effectiveness, and financial sustainability of the public hospital system.</w:t>
      </w:r>
    </w:p>
    <w:p w:rsidR="008E6306" w:rsidRPr="008E6306" w:rsidRDefault="008E6306" w:rsidP="008E6306">
      <w:pPr>
        <w:rPr>
          <w:lang w:val="en-GB"/>
        </w:rPr>
      </w:pPr>
      <w:r w:rsidRPr="008E6306">
        <w:rPr>
          <w:lang w:val="en-GB"/>
        </w:rPr>
        <w:t>IHPA works in partnership with the National Health Performance Authority and the Australian Commission on Safety and Quality in Health Care to facilitate a strong national framework for the delivery of public hospital services.</w:t>
      </w:r>
    </w:p>
    <w:p w:rsidR="008E6306" w:rsidRPr="008E6306" w:rsidRDefault="008E6306" w:rsidP="008E6306">
      <w:pPr>
        <w:rPr>
          <w:rStyle w:val="Strong"/>
        </w:rPr>
      </w:pPr>
      <w:r w:rsidRPr="008E6306">
        <w:rPr>
          <w:rStyle w:val="Strong"/>
        </w:rPr>
        <w:t>In this report, the ‘Pricing Authority’ refers to the governing body and ‘IHPA’ refers to the Agency.</w:t>
      </w:r>
    </w:p>
    <w:p w:rsidR="004957C2" w:rsidRDefault="004957C2" w:rsidP="004225DC">
      <w:r>
        <w:br w:type="page"/>
      </w:r>
    </w:p>
    <w:p w:rsidR="008E6306" w:rsidRDefault="004957C2" w:rsidP="004957C2">
      <w:pPr>
        <w:pStyle w:val="Heading2"/>
      </w:pPr>
      <w:r w:rsidRPr="004957C2">
        <w:lastRenderedPageBreak/>
        <w:t xml:space="preserve">IHPA’s vision, mission </w:t>
      </w:r>
      <w:r>
        <w:br/>
      </w:r>
      <w:r w:rsidRPr="004957C2">
        <w:t>and values</w:t>
      </w:r>
    </w:p>
    <w:p w:rsidR="004957C2" w:rsidRDefault="004957C2" w:rsidP="004957C2">
      <w:pPr>
        <w:pStyle w:val="Intro"/>
      </w:pPr>
      <w:r w:rsidRPr="004957C2">
        <w:t>IHPA values the work, talent and contribution of its people. Organisation-wide development strategies to maintain and grow discipline have been developed to harness this expertise and intellectual capital. An atmosphere of open communication and the welcoming of ideas are encouraged to inspire innovative thinking. IHPA’s people demonstrate a strong team ethic and collaborative culture.</w:t>
      </w:r>
    </w:p>
    <w:p w:rsidR="004957C2" w:rsidRDefault="00E130C3" w:rsidP="00E130C3">
      <w:pPr>
        <w:spacing w:before="720"/>
        <w:ind w:left="-70"/>
      </w:pPr>
      <w:r>
        <w:rPr>
          <w:noProof/>
        </w:rPr>
        <w:drawing>
          <wp:inline distT="0" distB="0" distL="0" distR="0" wp14:anchorId="22962210" wp14:editId="74A59574">
            <wp:extent cx="6422295" cy="5509260"/>
            <wp:effectExtent l="0" t="0" r="0" b="0"/>
            <wp:docPr id="17" name="Picture 17" descr="This image depicts the Independent Hospital Pricing Authority’s vision, values and mission.&#10;OUR VISION is for all Australians to have access to a sustainable, locally-controlled health system that funds public hospital services using Activity Based Funding, where practicable, based on a National Efficient Price (NEP).&#10;OUR VALUES are to act with independence, transparency, integrity, fairness, respect, accuracy and accountability. We value collaboration and demonstrate our values in our interaction with IHPA, with our stakeholders and the community.&#10;OUR MISSION is to promote improved efficiency in, and access to, public hospital services through setting the NEP and levels of block funding for public hospi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9779" cy="5507102"/>
                    </a:xfrm>
                    <a:prstGeom prst="rect">
                      <a:avLst/>
                    </a:prstGeom>
                  </pic:spPr>
                </pic:pic>
              </a:graphicData>
            </a:graphic>
          </wp:inline>
        </w:drawing>
      </w:r>
    </w:p>
    <w:p w:rsidR="0010263D" w:rsidRDefault="0010263D">
      <w:pPr>
        <w:spacing w:after="0" w:line="240" w:lineRule="auto"/>
      </w:pPr>
      <w:r>
        <w:br w:type="page"/>
      </w:r>
    </w:p>
    <w:p w:rsidR="0010263D" w:rsidRDefault="0010263D" w:rsidP="0010263D">
      <w:pPr>
        <w:pStyle w:val="Heading2"/>
      </w:pPr>
      <w:r w:rsidRPr="0010263D">
        <w:lastRenderedPageBreak/>
        <w:t>What has been achieved</w:t>
      </w:r>
    </w:p>
    <w:p w:rsidR="0010263D" w:rsidRPr="0010263D" w:rsidRDefault="0010263D" w:rsidP="0010263D">
      <w:pPr>
        <w:pStyle w:val="Intro"/>
        <w:rPr>
          <w:lang w:val="en-GB"/>
        </w:rPr>
      </w:pPr>
      <w:r w:rsidRPr="0010263D">
        <w:rPr>
          <w:lang w:val="en-GB"/>
        </w:rPr>
        <w:t>Since establishment, IHPA has been charged with introducing Activity Based Funding (ABF) for public hospital services nationally. ABF is used to determine the Australian Government’s funding contribution to Local Hospital Networks. IHPA does this through the annual determination of the National Efficient Price (NEP).</w:t>
      </w:r>
    </w:p>
    <w:p w:rsidR="0010263D" w:rsidRPr="0010263D" w:rsidRDefault="0010263D" w:rsidP="0010263D">
      <w:pPr>
        <w:spacing w:after="0" w:line="240" w:lineRule="auto"/>
        <w:rPr>
          <w:lang w:val="en-GB"/>
        </w:rPr>
      </w:pPr>
      <w:r w:rsidRPr="0010263D">
        <w:rPr>
          <w:lang w:val="en-GB"/>
        </w:rPr>
        <w:t xml:space="preserve">IHPA has released four NEP Determinations for public hospital services. The NEP represents the average cost of a National Weighted Activity Unit (NWAU). </w:t>
      </w:r>
    </w:p>
    <w:p w:rsidR="0010263D" w:rsidRPr="0010263D" w:rsidRDefault="0010263D" w:rsidP="0010263D">
      <w:pPr>
        <w:spacing w:after="0" w:line="240" w:lineRule="auto"/>
        <w:rPr>
          <w:lang w:val="en-GB"/>
        </w:rPr>
      </w:pPr>
      <w:r w:rsidRPr="0010263D">
        <w:rPr>
          <w:lang w:val="en-GB"/>
        </w:rPr>
        <w:t>Since the introduction of the NEP, the growth in public hospital costs, as calculated by the cost per NWAU, has slowed. This has had a direct impact on the calculation of the NEP. It is also reflected in the year-on-year decrease in the NEP indexation rate.</w:t>
      </w:r>
    </w:p>
    <w:p w:rsidR="0010263D" w:rsidRPr="0010263D" w:rsidRDefault="0010263D" w:rsidP="0010263D">
      <w:pPr>
        <w:spacing w:after="0" w:line="240" w:lineRule="auto"/>
        <w:rPr>
          <w:lang w:val="en-GB"/>
        </w:rPr>
      </w:pPr>
      <w:r w:rsidRPr="0010263D">
        <w:rPr>
          <w:lang w:val="en-GB"/>
        </w:rPr>
        <w:t xml:space="preserve">The slower than expected growth in the NEP, combined with lower than expected activity growth, resulted in a decrease of $941 million for public hospital expenditure in the Australian Government’s </w:t>
      </w:r>
      <w:r w:rsidRPr="0010263D">
        <w:rPr>
          <w:i/>
          <w:iCs/>
          <w:lang w:val="en-GB"/>
        </w:rPr>
        <w:t>Mid-year Economic and Fiscal Outlook 2014–15</w:t>
      </w:r>
      <w:r w:rsidRPr="0010263D">
        <w:rPr>
          <w:lang w:val="en-GB"/>
        </w:rPr>
        <w:t xml:space="preserve"> over the forward estimates period.</w:t>
      </w:r>
    </w:p>
    <w:p w:rsidR="00242B98" w:rsidRDefault="00242B98" w:rsidP="0010263D">
      <w:pPr>
        <w:pStyle w:val="Heading3"/>
      </w:pPr>
      <w:r>
        <w:br w:type="page"/>
      </w:r>
    </w:p>
    <w:p w:rsidR="0010263D" w:rsidRDefault="0010263D" w:rsidP="0010263D">
      <w:pPr>
        <w:pStyle w:val="Heading3"/>
      </w:pPr>
      <w:r w:rsidRPr="0010263D">
        <w:lastRenderedPageBreak/>
        <w:t>Decreased growth in costs per NWAU</w:t>
      </w:r>
    </w:p>
    <w:p w:rsidR="0010263D" w:rsidRDefault="0010263D">
      <w:pPr>
        <w:spacing w:after="0" w:line="240" w:lineRule="auto"/>
      </w:pPr>
      <w:r>
        <w:rPr>
          <w:noProof/>
        </w:rPr>
        <w:drawing>
          <wp:inline distT="0" distB="0" distL="0" distR="0" wp14:anchorId="0F637496" wp14:editId="757C521D">
            <wp:extent cx="4859655" cy="3030220"/>
            <wp:effectExtent l="0" t="0" r="0" b="0"/>
            <wp:docPr id="18" name="Picture 18" descr="This digram depicts decrease in the growth in costs nationally by National Weighted Activity Unit. 2006-07 is $3,664, 2007-08 is $3,809, 2008-09 is $4,023, 2009-10 is $4,312, 2010-11 is $4,400, 2011-12 is $4,548, 2012-13 is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9655" cy="3030220"/>
                    </a:xfrm>
                    <a:prstGeom prst="rect">
                      <a:avLst/>
                    </a:prstGeom>
                  </pic:spPr>
                </pic:pic>
              </a:graphicData>
            </a:graphic>
          </wp:inline>
        </w:drawing>
      </w:r>
    </w:p>
    <w:p w:rsidR="0010263D" w:rsidRDefault="0010263D" w:rsidP="0010263D">
      <w:pPr>
        <w:pStyle w:val="Heading3"/>
      </w:pPr>
      <w:r w:rsidRPr="0010263D">
        <w:t>Decreasing NEP indexation rate</w:t>
      </w:r>
    </w:p>
    <w:p w:rsidR="0010263D" w:rsidRDefault="0010263D" w:rsidP="0010263D">
      <w:r>
        <w:rPr>
          <w:noProof/>
        </w:rPr>
        <w:drawing>
          <wp:inline distT="0" distB="0" distL="0" distR="0" wp14:anchorId="3D672882" wp14:editId="3989D460">
            <wp:extent cx="4859655" cy="2950210"/>
            <wp:effectExtent l="0" t="0" r="0" b="2540"/>
            <wp:docPr id="19" name="Picture 19" descr="This digram depicts decrease in the National Efficient Price indexation rate. National Efficient Price 2012 is 5.1%, National Efficient Price 2013 is 4.7%, National Efficient Price 2014 is 3.9%, National Efficient Price 2015 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9655" cy="2950210"/>
                    </a:xfrm>
                    <a:prstGeom prst="rect">
                      <a:avLst/>
                    </a:prstGeom>
                  </pic:spPr>
                </pic:pic>
              </a:graphicData>
            </a:graphic>
          </wp:inline>
        </w:drawing>
      </w:r>
    </w:p>
    <w:p w:rsidR="00242B98" w:rsidRDefault="00242B98" w:rsidP="0010263D">
      <w:pPr>
        <w:pStyle w:val="Heading3"/>
        <w:rPr>
          <w:lang w:val="en-GB"/>
        </w:rPr>
      </w:pPr>
      <w:r>
        <w:rPr>
          <w:lang w:val="en-GB"/>
        </w:rPr>
        <w:br w:type="page"/>
      </w:r>
    </w:p>
    <w:p w:rsidR="0010263D" w:rsidRPr="0010263D" w:rsidRDefault="0010263D" w:rsidP="0010263D">
      <w:pPr>
        <w:pStyle w:val="Heading3"/>
        <w:rPr>
          <w:lang w:val="en-GB"/>
        </w:rPr>
      </w:pPr>
      <w:r w:rsidRPr="0010263D">
        <w:rPr>
          <w:lang w:val="en-GB"/>
        </w:rPr>
        <w:lastRenderedPageBreak/>
        <w:t>NEP and NEC Determinations 2015–16</w:t>
      </w:r>
    </w:p>
    <w:p w:rsidR="0010263D" w:rsidRPr="0010263D" w:rsidRDefault="0010263D" w:rsidP="0010263D">
      <w:pPr>
        <w:rPr>
          <w:lang w:val="en-GB"/>
        </w:rPr>
      </w:pPr>
      <w:r w:rsidRPr="0010263D">
        <w:rPr>
          <w:lang w:val="en-GB"/>
        </w:rPr>
        <w:t xml:space="preserve">In 2014–15 IHPA released the NEP and NEC Determinations for 2015–16. </w:t>
      </w:r>
    </w:p>
    <w:p w:rsidR="0010263D" w:rsidRPr="0010263D" w:rsidRDefault="0010263D" w:rsidP="0010263D">
      <w:pPr>
        <w:rPr>
          <w:lang w:val="en-GB"/>
        </w:rPr>
      </w:pPr>
      <w:r w:rsidRPr="0010263D">
        <w:rPr>
          <w:lang w:val="en-GB"/>
        </w:rPr>
        <w:t xml:space="preserve">The NEP for 2015–16 is $4,971 per NWAU. An NWAU is a unit of measure that allows hospital activity across a range of settings to be compared. </w:t>
      </w:r>
    </w:p>
    <w:p w:rsidR="0010263D" w:rsidRPr="0010263D" w:rsidRDefault="0010263D" w:rsidP="0010263D">
      <w:pPr>
        <w:rPr>
          <w:lang w:val="en-GB"/>
        </w:rPr>
      </w:pPr>
      <w:r w:rsidRPr="0010263D">
        <w:rPr>
          <w:lang w:val="en-GB"/>
        </w:rPr>
        <w:t>Examples of costs of procedures:</w:t>
      </w:r>
    </w:p>
    <w:p w:rsidR="0010263D" w:rsidRPr="0010263D" w:rsidRDefault="0010263D" w:rsidP="0010263D">
      <w:pPr>
        <w:pStyle w:val="ListBullet"/>
        <w:rPr>
          <w:lang w:val="en-GB"/>
        </w:rPr>
      </w:pPr>
      <w:r w:rsidRPr="0010263D">
        <w:rPr>
          <w:lang w:val="en-GB"/>
        </w:rPr>
        <w:t>A tonsillectomy has a weight of 0.7066 NWAU which equates to $3,513.</w:t>
      </w:r>
    </w:p>
    <w:p w:rsidR="0010263D" w:rsidRPr="0010263D" w:rsidRDefault="0010263D" w:rsidP="0010263D">
      <w:pPr>
        <w:pStyle w:val="ListBullet"/>
        <w:rPr>
          <w:lang w:val="en-GB"/>
        </w:rPr>
      </w:pPr>
      <w:r w:rsidRPr="0010263D">
        <w:rPr>
          <w:lang w:val="en-GB"/>
        </w:rPr>
        <w:t>A hip replacement (without complications) has a weight of 4.0591 NWAU which equates to $20,178.</w:t>
      </w:r>
    </w:p>
    <w:p w:rsidR="0010263D" w:rsidRDefault="0010263D" w:rsidP="0010263D">
      <w:pPr>
        <w:rPr>
          <w:lang w:val="en-GB"/>
        </w:rPr>
      </w:pPr>
      <w:r w:rsidRPr="0010263D">
        <w:rPr>
          <w:lang w:val="en-GB"/>
        </w:rPr>
        <w:t>The NEC for 2015–16 is $4.784 million, the average cost of block funded hospitals across Australia. Small rural hospital funding levels are weighted relative to this cost based on their volume of activity and location (for example, very remote location).</w:t>
      </w:r>
    </w:p>
    <w:p w:rsidR="00E865FE" w:rsidRPr="0010263D" w:rsidRDefault="00E865FE" w:rsidP="00A619C0">
      <w:pPr>
        <w:pStyle w:val="TableHeading"/>
        <w:rPr>
          <w:lang w:val="en-GB"/>
        </w:rPr>
      </w:pPr>
      <w:r w:rsidRPr="00E865FE">
        <w:rPr>
          <w:lang w:val="en-GB"/>
        </w:rPr>
        <w:t>Table 1: NEP and NEC Determinations</w:t>
      </w:r>
    </w:p>
    <w:tbl>
      <w:tblPr>
        <w:tblStyle w:val="DefaultTable"/>
        <w:tblW w:w="0" w:type="auto"/>
        <w:tblLayout w:type="fixed"/>
        <w:tblLook w:val="00A0" w:firstRow="1" w:lastRow="0" w:firstColumn="1" w:lastColumn="0" w:noHBand="0" w:noVBand="0"/>
        <w:tblDescription w:val="NEP and NEC Determinations"/>
      </w:tblPr>
      <w:tblGrid>
        <w:gridCol w:w="3119"/>
        <w:gridCol w:w="1138"/>
        <w:gridCol w:w="1138"/>
        <w:gridCol w:w="1138"/>
        <w:gridCol w:w="1138"/>
      </w:tblGrid>
      <w:tr w:rsidR="00E865FE" w:rsidRPr="00E865FE" w:rsidTr="00F371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tcPr>
          <w:p w:rsidR="00E865FE" w:rsidRPr="00E865FE" w:rsidRDefault="00E865FE" w:rsidP="009816F6">
            <w:pPr>
              <w:pStyle w:val="TableText"/>
            </w:pPr>
          </w:p>
        </w:tc>
        <w:tc>
          <w:tcPr>
            <w:tcW w:w="1138" w:type="dxa"/>
            <w:tcBorders>
              <w:left w:val="nil"/>
              <w:bottom w:val="nil"/>
            </w:tcBorders>
          </w:tcPr>
          <w:p w:rsidR="00E865FE" w:rsidRPr="00E865FE" w:rsidRDefault="00E865FE" w:rsidP="009D09E2">
            <w:pPr>
              <w:pStyle w:val="TableText"/>
              <w:jc w:val="right"/>
              <w:cnfStyle w:val="100000000000" w:firstRow="1" w:lastRow="0" w:firstColumn="0" w:lastColumn="0" w:oddVBand="0" w:evenVBand="0" w:oddHBand="0" w:evenHBand="0" w:firstRowFirstColumn="0" w:firstRowLastColumn="0" w:lastRowFirstColumn="0" w:lastRowLastColumn="0"/>
            </w:pPr>
            <w:r w:rsidRPr="00E865FE">
              <w:t>2012–13</w:t>
            </w:r>
          </w:p>
        </w:tc>
        <w:tc>
          <w:tcPr>
            <w:tcW w:w="1138" w:type="dxa"/>
          </w:tcPr>
          <w:p w:rsidR="00E865FE" w:rsidRPr="00E865FE" w:rsidRDefault="00E865FE" w:rsidP="009D09E2">
            <w:pPr>
              <w:pStyle w:val="TableText"/>
              <w:jc w:val="right"/>
              <w:cnfStyle w:val="100000000000" w:firstRow="1" w:lastRow="0" w:firstColumn="0" w:lastColumn="0" w:oddVBand="0" w:evenVBand="0" w:oddHBand="0" w:evenHBand="0" w:firstRowFirstColumn="0" w:firstRowLastColumn="0" w:lastRowFirstColumn="0" w:lastRowLastColumn="0"/>
            </w:pPr>
            <w:r w:rsidRPr="00E865FE">
              <w:t>2013–14</w:t>
            </w:r>
          </w:p>
        </w:tc>
        <w:tc>
          <w:tcPr>
            <w:tcW w:w="1138" w:type="dxa"/>
          </w:tcPr>
          <w:p w:rsidR="00E865FE" w:rsidRPr="00E865FE" w:rsidRDefault="00E865FE" w:rsidP="009D09E2">
            <w:pPr>
              <w:pStyle w:val="TableText"/>
              <w:jc w:val="right"/>
              <w:cnfStyle w:val="100000000000" w:firstRow="1" w:lastRow="0" w:firstColumn="0" w:lastColumn="0" w:oddVBand="0" w:evenVBand="0" w:oddHBand="0" w:evenHBand="0" w:firstRowFirstColumn="0" w:firstRowLastColumn="0" w:lastRowFirstColumn="0" w:lastRowLastColumn="0"/>
            </w:pPr>
            <w:r w:rsidRPr="00E865FE">
              <w:t>2014–15</w:t>
            </w:r>
          </w:p>
        </w:tc>
        <w:tc>
          <w:tcPr>
            <w:tcW w:w="1138" w:type="dxa"/>
          </w:tcPr>
          <w:p w:rsidR="00E865FE" w:rsidRPr="00E865FE" w:rsidRDefault="00E865FE" w:rsidP="009D09E2">
            <w:pPr>
              <w:pStyle w:val="TableText"/>
              <w:jc w:val="right"/>
              <w:cnfStyle w:val="100000000000" w:firstRow="1" w:lastRow="0" w:firstColumn="0" w:lastColumn="0" w:oddVBand="0" w:evenVBand="0" w:oddHBand="0" w:evenHBand="0" w:firstRowFirstColumn="0" w:firstRowLastColumn="0" w:lastRowFirstColumn="0" w:lastRowLastColumn="0"/>
            </w:pPr>
            <w:r w:rsidRPr="00E865FE">
              <w:t>2015–16</w:t>
            </w:r>
          </w:p>
        </w:tc>
      </w:tr>
      <w:tr w:rsidR="00E865FE" w:rsidRPr="00E865FE" w:rsidTr="00F371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tcPr>
          <w:p w:rsidR="00E865FE" w:rsidRPr="00E865FE" w:rsidRDefault="00E865FE" w:rsidP="009816F6">
            <w:pPr>
              <w:pStyle w:val="TableText"/>
            </w:pPr>
            <w:r w:rsidRPr="00E865FE">
              <w:t>NEP Determination</w:t>
            </w:r>
          </w:p>
        </w:tc>
        <w:tc>
          <w:tcPr>
            <w:tcW w:w="1138" w:type="dxa"/>
            <w:tcBorders>
              <w:left w:val="nil"/>
              <w:bottom w:val="nil"/>
            </w:tcBorders>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$4,808</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$4,993</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$5,007</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$4,971</w:t>
            </w:r>
          </w:p>
        </w:tc>
      </w:tr>
      <w:tr w:rsidR="00E865FE" w:rsidRPr="00E865FE" w:rsidTr="00F37143">
        <w:trPr>
          <w:trHeight w:val="340"/>
        </w:trPr>
        <w:tc>
          <w:tcPr>
            <w:cnfStyle w:val="001000000000" w:firstRow="0" w:lastRow="0" w:firstColumn="1" w:lastColumn="0" w:oddVBand="0" w:evenVBand="0" w:oddHBand="0" w:evenHBand="0" w:firstRowFirstColumn="0" w:firstRowLastColumn="0" w:lastRowFirstColumn="0" w:lastRowLastColumn="0"/>
            <w:tcW w:w="3119" w:type="dxa"/>
          </w:tcPr>
          <w:p w:rsidR="00E865FE" w:rsidRPr="00E865FE" w:rsidRDefault="00E865FE" w:rsidP="009816F6">
            <w:pPr>
              <w:pStyle w:val="TableText"/>
            </w:pPr>
            <w:r w:rsidRPr="00E865FE">
              <w:t>Back-cast NEP Determination</w:t>
            </w:r>
          </w:p>
        </w:tc>
        <w:tc>
          <w:tcPr>
            <w:tcW w:w="1138" w:type="dxa"/>
            <w:tcBorders>
              <w:left w:val="nil"/>
              <w:bottom w:val="nil"/>
            </w:tcBorders>
          </w:tcPr>
          <w:p w:rsidR="00E865FE" w:rsidRPr="00E865FE" w:rsidRDefault="00E865FE" w:rsidP="009D09E2">
            <w:pPr>
              <w:pStyle w:val="TableText"/>
              <w:jc w:val="right"/>
              <w:cnfStyle w:val="000000000000" w:firstRow="0" w:lastRow="0" w:firstColumn="0" w:lastColumn="0" w:oddVBand="0" w:evenVBand="0" w:oddHBand="0" w:evenHBand="0" w:firstRowFirstColumn="0" w:firstRowLastColumn="0" w:lastRowFirstColumn="0" w:lastRowLastColumn="0"/>
            </w:pPr>
            <w:r w:rsidRPr="00E865FE">
              <w:t>N/A</w:t>
            </w:r>
          </w:p>
        </w:tc>
        <w:tc>
          <w:tcPr>
            <w:tcW w:w="1138" w:type="dxa"/>
          </w:tcPr>
          <w:p w:rsidR="00E865FE" w:rsidRPr="00E865FE" w:rsidRDefault="00E865FE" w:rsidP="009D09E2">
            <w:pPr>
              <w:pStyle w:val="TableText"/>
              <w:jc w:val="right"/>
              <w:cnfStyle w:val="000000000000" w:firstRow="0" w:lastRow="0" w:firstColumn="0" w:lastColumn="0" w:oddVBand="0" w:evenVBand="0" w:oddHBand="0" w:evenHBand="0" w:firstRowFirstColumn="0" w:firstRowLastColumn="0" w:lastRowFirstColumn="0" w:lastRowLastColumn="0"/>
            </w:pPr>
            <w:r w:rsidRPr="00E865FE">
              <w:t>$4,819</w:t>
            </w:r>
          </w:p>
        </w:tc>
        <w:tc>
          <w:tcPr>
            <w:tcW w:w="1138" w:type="dxa"/>
          </w:tcPr>
          <w:p w:rsidR="00E865FE" w:rsidRPr="00E865FE" w:rsidRDefault="00E865FE" w:rsidP="009D09E2">
            <w:pPr>
              <w:pStyle w:val="TableText"/>
              <w:jc w:val="right"/>
              <w:cnfStyle w:val="000000000000" w:firstRow="0" w:lastRow="0" w:firstColumn="0" w:lastColumn="0" w:oddVBand="0" w:evenVBand="0" w:oddHBand="0" w:evenHBand="0" w:firstRowFirstColumn="0" w:firstRowLastColumn="0" w:lastRowFirstColumn="0" w:lastRowLastColumn="0"/>
            </w:pPr>
            <w:r w:rsidRPr="00E865FE">
              <w:t>$4,826</w:t>
            </w:r>
          </w:p>
        </w:tc>
        <w:tc>
          <w:tcPr>
            <w:tcW w:w="1138" w:type="dxa"/>
          </w:tcPr>
          <w:p w:rsidR="00E865FE" w:rsidRPr="00E865FE" w:rsidRDefault="00E865FE" w:rsidP="009D09E2">
            <w:pPr>
              <w:pStyle w:val="TableText"/>
              <w:jc w:val="right"/>
              <w:cnfStyle w:val="000000000000" w:firstRow="0" w:lastRow="0" w:firstColumn="0" w:lastColumn="0" w:oddVBand="0" w:evenVBand="0" w:oddHBand="0" w:evenHBand="0" w:firstRowFirstColumn="0" w:firstRowLastColumn="0" w:lastRowFirstColumn="0" w:lastRowLastColumn="0"/>
            </w:pPr>
            <w:r w:rsidRPr="00E865FE">
              <w:t>N/A</w:t>
            </w:r>
          </w:p>
        </w:tc>
      </w:tr>
      <w:tr w:rsidR="00E865FE" w:rsidRPr="00E865FE" w:rsidTr="00F371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tcPr>
          <w:p w:rsidR="00E865FE" w:rsidRPr="00E865FE" w:rsidRDefault="00E865FE" w:rsidP="009816F6">
            <w:pPr>
              <w:pStyle w:val="TableText"/>
            </w:pPr>
            <w:r w:rsidRPr="00E865FE">
              <w:t>NEC Determination</w:t>
            </w:r>
          </w:p>
        </w:tc>
        <w:tc>
          <w:tcPr>
            <w:tcW w:w="1138" w:type="dxa"/>
            <w:tcBorders>
              <w:left w:val="nil"/>
              <w:bottom w:val="single" w:sz="4" w:space="0" w:color="auto"/>
            </w:tcBorders>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N/A</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$4.738 million</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$5.725 million</w:t>
            </w:r>
          </w:p>
        </w:tc>
        <w:tc>
          <w:tcPr>
            <w:tcW w:w="1138" w:type="dxa"/>
          </w:tcPr>
          <w:p w:rsidR="00E865FE" w:rsidRPr="00E865FE" w:rsidRDefault="00E865FE" w:rsidP="009D09E2">
            <w:pPr>
              <w:pStyle w:val="TableText"/>
              <w:jc w:val="right"/>
              <w:cnfStyle w:val="000000100000" w:firstRow="0" w:lastRow="0" w:firstColumn="0" w:lastColumn="0" w:oddVBand="0" w:evenVBand="0" w:oddHBand="1" w:evenHBand="0" w:firstRowFirstColumn="0" w:firstRowLastColumn="0" w:lastRowFirstColumn="0" w:lastRowLastColumn="0"/>
            </w:pPr>
            <w:r w:rsidRPr="00E865FE">
              <w:t>$4.784 million</w:t>
            </w:r>
          </w:p>
        </w:tc>
      </w:tr>
    </w:tbl>
    <w:p w:rsidR="00E865FE" w:rsidRDefault="00E865FE" w:rsidP="0010263D">
      <w:r w:rsidRPr="00E865FE">
        <w:t>The NEP for 2013–14 and 2014–15 were back-cast using more up to date cost data that was not available when the price was first calculated. This is in accordance with the National Health Reform Agreement (clause A40).</w:t>
      </w:r>
    </w:p>
    <w:p w:rsidR="00242B98" w:rsidRDefault="00242B98" w:rsidP="0010263D">
      <w:r>
        <w:br w:type="page"/>
      </w:r>
    </w:p>
    <w:p w:rsidR="00242B98" w:rsidRPr="00F91DCC" w:rsidRDefault="00F91DCC" w:rsidP="00242B98">
      <w:pPr>
        <w:pStyle w:val="Heading1"/>
        <w:rPr>
          <w:color w:val="FFFFFF" w:themeColor="background1"/>
        </w:rPr>
      </w:pPr>
      <w:bookmarkStart w:id="5" w:name="_Toc432437395"/>
      <w:r w:rsidRPr="007A4CA9">
        <w:rPr>
          <w:noProof/>
          <w:color w:val="FFFFFF" w:themeColor="background1"/>
          <w:sz w:val="32"/>
          <w:szCs w:val="32"/>
        </w:rPr>
        <w:lastRenderedPageBreak/>
        <w:drawing>
          <wp:anchor distT="0" distB="0" distL="114300" distR="114300" simplePos="0" relativeHeight="251653120" behindDoc="1" locked="0" layoutInCell="0" allowOverlap="1" wp14:anchorId="77A535D9" wp14:editId="180FB0E8">
            <wp:simplePos x="0" y="0"/>
            <wp:positionH relativeFrom="page">
              <wp:align>left</wp:align>
            </wp:positionH>
            <wp:positionV relativeFrom="page">
              <wp:align>top</wp:align>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7A4CA9" w:rsidRPr="007A4CA9">
        <w:rPr>
          <w:caps w:val="0"/>
          <w:color w:val="FFFFFF" w:themeColor="background1"/>
          <w:sz w:val="32"/>
          <w:szCs w:val="32"/>
        </w:rPr>
        <w:t>Chapter</w:t>
      </w:r>
      <w:r w:rsidR="00242B98" w:rsidRPr="007A4CA9">
        <w:rPr>
          <w:color w:val="FFFFFF" w:themeColor="background1"/>
          <w:sz w:val="32"/>
          <w:szCs w:val="32"/>
        </w:rPr>
        <w:t xml:space="preserve"> 1</w:t>
      </w:r>
      <w:r w:rsidR="00242B98" w:rsidRPr="00F91DCC">
        <w:rPr>
          <w:color w:val="FFFFFF" w:themeColor="background1"/>
        </w:rPr>
        <w:br/>
        <w:t>Overview</w:t>
      </w:r>
      <w:bookmarkEnd w:id="5"/>
    </w:p>
    <w:p w:rsidR="00F1632B" w:rsidRDefault="00F1632B">
      <w:pPr>
        <w:spacing w:after="0" w:line="240" w:lineRule="auto"/>
      </w:pPr>
      <w:r>
        <w:br w:type="page"/>
      </w:r>
    </w:p>
    <w:p w:rsidR="00F1632B" w:rsidRDefault="001B3E8D" w:rsidP="001B3E8D">
      <w:pPr>
        <w:pStyle w:val="Heading2"/>
      </w:pPr>
      <w:r>
        <w:lastRenderedPageBreak/>
        <w:t>Chair’s welcome</w:t>
      </w:r>
    </w:p>
    <w:p w:rsidR="001B3E8D" w:rsidRPr="001B3E8D" w:rsidRDefault="001B3E8D" w:rsidP="001B3E8D">
      <w:pPr>
        <w:pStyle w:val="Intro"/>
        <w:rPr>
          <w:lang w:val="en-GB"/>
        </w:rPr>
      </w:pPr>
      <w:r>
        <w:rPr>
          <w:noProof/>
        </w:rPr>
        <w:drawing>
          <wp:anchor distT="0" distB="0" distL="114300" distR="114300" simplePos="0" relativeHeight="251650048" behindDoc="0" locked="0" layoutInCell="0" allowOverlap="1" wp14:anchorId="2D027D7D" wp14:editId="5394E9A5">
            <wp:simplePos x="0" y="0"/>
            <wp:positionH relativeFrom="page">
              <wp:posOffset>5701665</wp:posOffset>
            </wp:positionH>
            <wp:positionV relativeFrom="page">
              <wp:posOffset>2207895</wp:posOffset>
            </wp:positionV>
            <wp:extent cx="1857375" cy="2101850"/>
            <wp:effectExtent l="0" t="0" r="9525" b="0"/>
            <wp:wrapNone/>
            <wp:docPr id="10" name="Picture 10" descr="Photograph of Shane Solomon, Chair of the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ortra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2101850"/>
                    </a:xfrm>
                    <a:prstGeom prst="rect">
                      <a:avLst/>
                    </a:prstGeom>
                  </pic:spPr>
                </pic:pic>
              </a:graphicData>
            </a:graphic>
            <wp14:sizeRelH relativeFrom="page">
              <wp14:pctWidth>0</wp14:pctWidth>
            </wp14:sizeRelH>
            <wp14:sizeRelV relativeFrom="page">
              <wp14:pctHeight>0</wp14:pctHeight>
            </wp14:sizeRelV>
          </wp:anchor>
        </w:drawing>
      </w:r>
      <w:r w:rsidRPr="001B3E8D">
        <w:rPr>
          <w:lang w:val="en-GB"/>
        </w:rPr>
        <w:t>I am delighted to present the Independent Hospital Pricing Authority’s (IHP</w:t>
      </w:r>
      <w:r w:rsidR="00A93B4F">
        <w:rPr>
          <w:lang w:val="en-GB"/>
        </w:rPr>
        <w:t>A’s) Annual Report for 2014–15.</w:t>
      </w:r>
    </w:p>
    <w:p w:rsidR="001B3E8D" w:rsidRPr="001B3E8D" w:rsidRDefault="001B3E8D" w:rsidP="001B3E8D">
      <w:pPr>
        <w:rPr>
          <w:lang w:val="en-GB"/>
        </w:rPr>
      </w:pPr>
      <w:r w:rsidRPr="001B3E8D">
        <w:rPr>
          <w:lang w:val="en-GB"/>
        </w:rPr>
        <w:t>This year IHPA has continued to embed Activity Based Funding (ABF) at a national level to further improve the transparency, efficiency and benchmarking opportunities that ABF presents to the Australian health care system.</w:t>
      </w:r>
    </w:p>
    <w:p w:rsidR="001B3E8D" w:rsidRPr="001B3E8D" w:rsidRDefault="001B3E8D" w:rsidP="001B3E8D">
      <w:pPr>
        <w:rPr>
          <w:lang w:val="en-GB"/>
        </w:rPr>
      </w:pPr>
      <w:r w:rsidRPr="001B3E8D">
        <w:rPr>
          <w:lang w:val="en-GB"/>
        </w:rPr>
        <w:t>In 2014–15 IHPA delivered its fourth round of pricing for Australian public hospital services through the National Efficient Price (NEP) and the National Efficient Cost (NEC) Determinations which directly determine the Australian Government’s funding for public hospital services throughout Australia.</w:t>
      </w:r>
    </w:p>
    <w:p w:rsidR="001B3E8D" w:rsidRPr="001B3E8D" w:rsidRDefault="001B3E8D" w:rsidP="001B3E8D">
      <w:pPr>
        <w:rPr>
          <w:lang w:val="en-GB"/>
        </w:rPr>
      </w:pPr>
      <w:r w:rsidRPr="001B3E8D">
        <w:rPr>
          <w:lang w:val="en-GB"/>
        </w:rPr>
        <w:t xml:space="preserve">Working in partnership with all jurisdictions and a wide range of stakeholders ensured that IHPA’s Work Program for 2014–15 was successfully delivered. </w:t>
      </w:r>
    </w:p>
    <w:p w:rsidR="001B3E8D" w:rsidRPr="001B3E8D" w:rsidRDefault="001B3E8D" w:rsidP="001B3E8D">
      <w:pPr>
        <w:rPr>
          <w:lang w:val="en-GB"/>
        </w:rPr>
      </w:pPr>
      <w:r w:rsidRPr="001B3E8D">
        <w:rPr>
          <w:lang w:val="en-GB"/>
        </w:rPr>
        <w:t>Our achievements this year included a costing study on mental health care services to further progress the development of a national classification for mental health care. Further improvements to the National Hospital Cost Data Collection (NHCDC) were also achieved in the past year with the help of the NHCDC Advisory Committee.</w:t>
      </w:r>
    </w:p>
    <w:p w:rsidR="001B3E8D" w:rsidRPr="001B3E8D" w:rsidRDefault="001B3E8D" w:rsidP="001B3E8D">
      <w:pPr>
        <w:rPr>
          <w:lang w:val="en-GB"/>
        </w:rPr>
      </w:pPr>
      <w:r w:rsidRPr="001B3E8D">
        <w:rPr>
          <w:lang w:val="en-GB"/>
        </w:rPr>
        <w:t xml:space="preserve">The Pricing Authority was pleased to witness another successful Activity Based Funding Conference for approximately 400 delegates. The conference held in Adelaide demonstrated the work that has been done across the country at all levels to embed ABF as a tool for management rather than purely funding. </w:t>
      </w:r>
    </w:p>
    <w:p w:rsidR="001B3E8D" w:rsidRPr="001B3E8D" w:rsidRDefault="001B3E8D" w:rsidP="001B3E8D">
      <w:pPr>
        <w:rPr>
          <w:lang w:val="en-GB"/>
        </w:rPr>
      </w:pPr>
      <w:r w:rsidRPr="001B3E8D">
        <w:rPr>
          <w:lang w:val="en-GB"/>
        </w:rPr>
        <w:t xml:space="preserve">I would like to thank my fellow members of the Pricing Authority for their expertise and vision which has guided IHPA over the past financial year. </w:t>
      </w:r>
    </w:p>
    <w:p w:rsidR="001B3E8D" w:rsidRPr="001B3E8D" w:rsidRDefault="001B3E8D" w:rsidP="001B3E8D">
      <w:pPr>
        <w:rPr>
          <w:lang w:val="en-GB"/>
        </w:rPr>
      </w:pPr>
      <w:r w:rsidRPr="001B3E8D">
        <w:rPr>
          <w:lang w:val="en-GB"/>
        </w:rPr>
        <w:t xml:space="preserve">I would also like to extend my thanks to James Downie, Acting Chief Executive Officer and his staff for their hard work to deliver IHPA’s Work Program at such a high standard in 2014–15. Without this expertise the achievements outlined in this report would not have been possible. </w:t>
      </w:r>
    </w:p>
    <w:p w:rsidR="001B3E8D" w:rsidRPr="001B3E8D" w:rsidRDefault="001B3E8D" w:rsidP="001B3E8D">
      <w:pPr>
        <w:rPr>
          <w:lang w:val="en-GB"/>
        </w:rPr>
      </w:pPr>
      <w:r w:rsidRPr="001B3E8D">
        <w:rPr>
          <w:lang w:val="en-GB"/>
        </w:rPr>
        <w:t xml:space="preserve">Finally, I would also like to recognise IHPA’s former Chief Executive Officer, Dr Tony Sherbon, for his leadership for the past four years. Dr Sherbon delivered a number of key achievements including four annual Determinations of the National Efficient Price and has left the agency in a strong position to further deliver on its obligations under the </w:t>
      </w:r>
      <w:r w:rsidRPr="001B3E8D">
        <w:rPr>
          <w:i/>
          <w:iCs/>
          <w:lang w:val="en-GB"/>
        </w:rPr>
        <w:t>National Health Reform Act 2011</w:t>
      </w:r>
      <w:r w:rsidRPr="001B3E8D">
        <w:rPr>
          <w:lang w:val="en-GB"/>
        </w:rPr>
        <w:t>.</w:t>
      </w:r>
    </w:p>
    <w:p w:rsidR="001B3E8D" w:rsidRPr="001B3E8D" w:rsidRDefault="001B3E8D" w:rsidP="001B3E8D">
      <w:pPr>
        <w:rPr>
          <w:lang w:val="en-GB"/>
        </w:rPr>
      </w:pPr>
      <w:r w:rsidRPr="001B3E8D">
        <w:rPr>
          <w:lang w:val="en-GB"/>
        </w:rPr>
        <w:t xml:space="preserve">I am proud of the achievements outlined in this report and look forward to chairing the Pricing Authority in 2015–16 as we continue to work towards improving the Australian health care system. </w:t>
      </w:r>
    </w:p>
    <w:p w:rsidR="00F1632B" w:rsidRDefault="00AE3038" w:rsidP="001B3E8D">
      <w:r w:rsidRPr="001B3E8D">
        <w:rPr>
          <w:noProof/>
        </w:rPr>
        <w:drawing>
          <wp:inline distT="0" distB="0" distL="0" distR="0" wp14:anchorId="12D4327D" wp14:editId="71A1AD30">
            <wp:extent cx="2657856" cy="347472"/>
            <wp:effectExtent l="0" t="0" r="0" b="0"/>
            <wp:docPr id="9" name="Pictur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sign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856" cy="347472"/>
                    </a:xfrm>
                    <a:prstGeom prst="rect">
                      <a:avLst/>
                    </a:prstGeom>
                  </pic:spPr>
                </pic:pic>
              </a:graphicData>
            </a:graphic>
          </wp:inline>
        </w:drawing>
      </w:r>
    </w:p>
    <w:p w:rsidR="001B3E8D" w:rsidRPr="001B3E8D" w:rsidRDefault="001B3E8D" w:rsidP="001B3E8D">
      <w:pPr>
        <w:pStyle w:val="NoSpacing"/>
        <w:rPr>
          <w:b/>
        </w:rPr>
      </w:pPr>
      <w:r w:rsidRPr="001B3E8D">
        <w:rPr>
          <w:b/>
        </w:rPr>
        <w:t xml:space="preserve">Shane Solomon </w:t>
      </w:r>
    </w:p>
    <w:p w:rsidR="001B3E8D" w:rsidRPr="001B3E8D" w:rsidRDefault="001B3E8D" w:rsidP="001B3E8D">
      <w:pPr>
        <w:pStyle w:val="NoSpacing"/>
      </w:pPr>
      <w:r w:rsidRPr="001B3E8D">
        <w:t>Pricing Authority Chair</w:t>
      </w:r>
    </w:p>
    <w:p w:rsidR="00F1632B" w:rsidRDefault="001B3E8D" w:rsidP="00F1632B">
      <w:pPr>
        <w:pStyle w:val="NoSpacing"/>
      </w:pPr>
      <w:r w:rsidRPr="001B3E8D">
        <w:t>2 October 2015</w:t>
      </w:r>
    </w:p>
    <w:p w:rsidR="00776538" w:rsidRDefault="00776538">
      <w:pPr>
        <w:spacing w:after="0" w:line="240" w:lineRule="auto"/>
      </w:pPr>
      <w:r>
        <w:br w:type="page"/>
      </w:r>
    </w:p>
    <w:p w:rsidR="00776538" w:rsidRDefault="00EC52E7" w:rsidP="00667FA9">
      <w:pPr>
        <w:pStyle w:val="Heading2"/>
        <w:spacing w:after="480"/>
      </w:pPr>
      <w:r w:rsidRPr="00EC52E7">
        <w:lastRenderedPageBreak/>
        <w:t>Chief Executive Officer’s year in review</w:t>
      </w:r>
    </w:p>
    <w:p w:rsidR="00EC52E7" w:rsidRPr="00EC52E7" w:rsidRDefault="00AE3038" w:rsidP="00EC52E7">
      <w:pPr>
        <w:pStyle w:val="Intro"/>
        <w:rPr>
          <w:lang w:val="en-GB"/>
        </w:rPr>
      </w:pPr>
      <w:r>
        <w:rPr>
          <w:noProof/>
        </w:rPr>
        <w:drawing>
          <wp:anchor distT="0" distB="0" distL="114300" distR="114300" simplePos="0" relativeHeight="251651072" behindDoc="0" locked="0" layoutInCell="0" allowOverlap="1" wp14:anchorId="627E0B16" wp14:editId="187C468D">
            <wp:simplePos x="0" y="0"/>
            <wp:positionH relativeFrom="column">
              <wp:posOffset>5043805</wp:posOffset>
            </wp:positionH>
            <wp:positionV relativeFrom="page">
              <wp:posOffset>2255463</wp:posOffset>
            </wp:positionV>
            <wp:extent cx="1857600" cy="2100563"/>
            <wp:effectExtent l="0" t="0" r="0" b="0"/>
            <wp:wrapNone/>
            <wp:docPr id="12" name="Picture 12" descr="Photograph of James Downie, Acting Chief Executive Officer of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_portra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600" cy="2100563"/>
                    </a:xfrm>
                    <a:prstGeom prst="rect">
                      <a:avLst/>
                    </a:prstGeom>
                  </pic:spPr>
                </pic:pic>
              </a:graphicData>
            </a:graphic>
            <wp14:sizeRelH relativeFrom="page">
              <wp14:pctWidth>0</wp14:pctWidth>
            </wp14:sizeRelH>
            <wp14:sizeRelV relativeFrom="page">
              <wp14:pctHeight>0</wp14:pctHeight>
            </wp14:sizeRelV>
          </wp:anchor>
        </w:drawing>
      </w:r>
      <w:r w:rsidR="00EC52E7" w:rsidRPr="00EC52E7">
        <w:rPr>
          <w:lang w:val="en-GB"/>
        </w:rPr>
        <w:t>I am pleased to report on the Independent Hospital Pricing Autho</w:t>
      </w:r>
      <w:r w:rsidR="00A93B4F">
        <w:rPr>
          <w:lang w:val="en-GB"/>
        </w:rPr>
        <w:t>rity’s achievements in 2014–15.</w:t>
      </w:r>
    </w:p>
    <w:p w:rsidR="00EC52E7" w:rsidRPr="00EC52E7" w:rsidRDefault="00EC52E7" w:rsidP="00EC52E7">
      <w:pPr>
        <w:rPr>
          <w:lang w:val="en-GB"/>
        </w:rPr>
      </w:pPr>
      <w:r w:rsidRPr="00EC52E7">
        <w:rPr>
          <w:lang w:val="en-GB"/>
        </w:rPr>
        <w:t xml:space="preserve">It has been an exciting year of work for IHPA as we have witnessed Activity Based Funding (ABF) become further entrenched within the national health care system. </w:t>
      </w:r>
    </w:p>
    <w:p w:rsidR="00EC52E7" w:rsidRPr="00EC52E7" w:rsidRDefault="00EC52E7" w:rsidP="00EC52E7">
      <w:pPr>
        <w:rPr>
          <w:lang w:val="en-GB"/>
        </w:rPr>
      </w:pPr>
      <w:r w:rsidRPr="00EC52E7">
        <w:rPr>
          <w:lang w:val="en-GB"/>
        </w:rPr>
        <w:t xml:space="preserve">During 2014–15 IHPA consulted widely with jurisdictions, key stakeholders and the public to finalise the </w:t>
      </w:r>
      <w:r w:rsidRPr="00EC52E7">
        <w:rPr>
          <w:i/>
          <w:iCs/>
          <w:lang w:val="en-GB"/>
        </w:rPr>
        <w:t>Pricing Framework for Australian Public Hospital Services</w:t>
      </w:r>
      <w:r w:rsidRPr="00EC52E7">
        <w:rPr>
          <w:lang w:val="en-GB"/>
        </w:rPr>
        <w:t>. Pricing Framework provides the methodology that guides IHPA’s annual pricing process.</w:t>
      </w:r>
    </w:p>
    <w:p w:rsidR="00EC52E7" w:rsidRPr="00EC52E7" w:rsidRDefault="00EC52E7" w:rsidP="00EC52E7">
      <w:pPr>
        <w:rPr>
          <w:lang w:val="en-GB"/>
        </w:rPr>
      </w:pPr>
      <w:r w:rsidRPr="00EC52E7">
        <w:rPr>
          <w:lang w:val="en-GB"/>
        </w:rPr>
        <w:t xml:space="preserve">IHPA recognises the importance of its relationships with jurisdictions and key stakeholders. In 2014–15, IHPA developed these relationships further via ongoing consultation and its advisory committees to help guide IHPA’s Work Program. Our stakeholders are critical to the success and national acceptance of IHPA’s work and I would like to thank them for their assistance this past year. </w:t>
      </w:r>
    </w:p>
    <w:p w:rsidR="00EC52E7" w:rsidRPr="00EC52E7" w:rsidRDefault="00EC52E7" w:rsidP="00EC52E7">
      <w:pPr>
        <w:rPr>
          <w:lang w:val="en-GB"/>
        </w:rPr>
      </w:pPr>
      <w:r w:rsidRPr="00EC52E7">
        <w:rPr>
          <w:lang w:val="en-GB"/>
        </w:rPr>
        <w:t xml:space="preserve">In February 2015, IHPA released the National Efficient Price (NEP) and National Efficient Cost (NEC) Determinations for 2015–16. </w:t>
      </w:r>
    </w:p>
    <w:p w:rsidR="00EC52E7" w:rsidRPr="00EC52E7" w:rsidRDefault="00EC52E7" w:rsidP="00EC52E7">
      <w:pPr>
        <w:rPr>
          <w:lang w:val="en-GB"/>
        </w:rPr>
      </w:pPr>
      <w:r w:rsidRPr="00EC52E7">
        <w:rPr>
          <w:lang w:val="en-GB"/>
        </w:rPr>
        <w:t>This year IHPA completed a costing study for mental health care services and further progressed the work towards the Australian Mental Health Care Classification as guided by the newly established Mental Health Care Expert Reference Group. This group includes mental health professionals and experts in classification development.</w:t>
      </w:r>
    </w:p>
    <w:p w:rsidR="00EC52E7" w:rsidRPr="00EC52E7" w:rsidRDefault="00EC52E7" w:rsidP="00EC52E7">
      <w:pPr>
        <w:rPr>
          <w:lang w:val="en-GB"/>
        </w:rPr>
      </w:pPr>
      <w:r w:rsidRPr="00EC52E7">
        <w:rPr>
          <w:lang w:val="en-GB"/>
        </w:rPr>
        <w:t>Another notable achievement was commencing the costing study for Teaching, Training and Research (TTR). This study aims to define TTR and identify associated cost drivers for ABF purposes.</w:t>
      </w:r>
    </w:p>
    <w:p w:rsidR="00EC52E7" w:rsidRPr="00EC52E7" w:rsidRDefault="00EC52E7" w:rsidP="00EC52E7">
      <w:pPr>
        <w:rPr>
          <w:lang w:val="en-GB"/>
        </w:rPr>
      </w:pPr>
      <w:r w:rsidRPr="00EC52E7">
        <w:rPr>
          <w:lang w:val="en-GB"/>
        </w:rPr>
        <w:t xml:space="preserve">I would like to thank the Pricing Authority for their continued expertise and vision and the Clinical Advisory Committee who provide a vital perspective to ensure that decisions are made incorporating clinical expertise. </w:t>
      </w:r>
    </w:p>
    <w:p w:rsidR="00EC52E7" w:rsidRPr="00EC52E7" w:rsidRDefault="00EC52E7" w:rsidP="00EC52E7">
      <w:pPr>
        <w:rPr>
          <w:lang w:val="en-GB"/>
        </w:rPr>
      </w:pPr>
      <w:r w:rsidRPr="00EC52E7">
        <w:rPr>
          <w:lang w:val="en-GB"/>
        </w:rPr>
        <w:t xml:space="preserve">Finally, I would like to extend my thanks to the highly skilled experts at IHPA for the high standard of work they have produced over the past year. Every section across the business has demonstrated professionalism and a strong work ethic. </w:t>
      </w:r>
    </w:p>
    <w:p w:rsidR="00EC52E7" w:rsidRPr="00EC52E7" w:rsidRDefault="00EC52E7" w:rsidP="00EC52E7">
      <w:pPr>
        <w:rPr>
          <w:lang w:val="en-GB"/>
        </w:rPr>
      </w:pPr>
      <w:r w:rsidRPr="00EC52E7">
        <w:rPr>
          <w:lang w:val="en-GB"/>
        </w:rPr>
        <w:t xml:space="preserve">I look forward to another successful year ahead as IHPA continues to help improve the transparency and efficiency of the Australian health care system. </w:t>
      </w:r>
    </w:p>
    <w:p w:rsidR="00EC52E7" w:rsidRPr="00EC52E7" w:rsidRDefault="00EC52E7" w:rsidP="00EC52E7">
      <w:pPr>
        <w:rPr>
          <w:b/>
          <w:bCs/>
          <w:lang w:val="en-GB"/>
        </w:rPr>
      </w:pPr>
      <w:r>
        <w:rPr>
          <w:noProof/>
        </w:rPr>
        <w:drawing>
          <wp:inline distT="0" distB="0" distL="0" distR="0" wp14:anchorId="72AB56DA" wp14:editId="322FDBE9">
            <wp:extent cx="1767840" cy="734568"/>
            <wp:effectExtent l="0" t="0" r="3810" b="8890"/>
            <wp:docPr id="11" name="Pictur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_signat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7840" cy="734568"/>
                    </a:xfrm>
                    <a:prstGeom prst="rect">
                      <a:avLst/>
                    </a:prstGeom>
                  </pic:spPr>
                </pic:pic>
              </a:graphicData>
            </a:graphic>
          </wp:inline>
        </w:drawing>
      </w:r>
    </w:p>
    <w:p w:rsidR="00EC52E7" w:rsidRPr="00EC52E7" w:rsidRDefault="00EC52E7" w:rsidP="00EC52E7">
      <w:pPr>
        <w:pStyle w:val="NoSpacing"/>
        <w:rPr>
          <w:b/>
          <w:lang w:val="en-GB"/>
        </w:rPr>
      </w:pPr>
      <w:r w:rsidRPr="00EC52E7">
        <w:rPr>
          <w:b/>
          <w:lang w:val="en-GB"/>
        </w:rPr>
        <w:t>James Downie</w:t>
      </w:r>
    </w:p>
    <w:p w:rsidR="00EC52E7" w:rsidRPr="00EC52E7" w:rsidRDefault="00EC52E7" w:rsidP="00EC52E7">
      <w:pPr>
        <w:pStyle w:val="NoSpacing"/>
        <w:rPr>
          <w:lang w:val="en-GB"/>
        </w:rPr>
      </w:pPr>
      <w:r w:rsidRPr="00EC52E7">
        <w:rPr>
          <w:lang w:val="en-GB"/>
        </w:rPr>
        <w:t xml:space="preserve">Acting Chief Executive Officer </w:t>
      </w:r>
    </w:p>
    <w:p w:rsidR="00EC52E7" w:rsidRPr="00EC52E7" w:rsidRDefault="00EC52E7" w:rsidP="00EC52E7">
      <w:pPr>
        <w:pStyle w:val="NoSpacing"/>
        <w:rPr>
          <w:lang w:val="en-GB"/>
        </w:rPr>
      </w:pPr>
      <w:r w:rsidRPr="00EC52E7">
        <w:rPr>
          <w:lang w:val="en-GB"/>
        </w:rPr>
        <w:t xml:space="preserve">Independent Hospital Pricing Authority </w:t>
      </w:r>
    </w:p>
    <w:p w:rsidR="00EC52E7" w:rsidRPr="00EC52E7" w:rsidRDefault="00EC52E7" w:rsidP="00EC52E7">
      <w:pPr>
        <w:pStyle w:val="NoSpacing"/>
        <w:rPr>
          <w:lang w:val="en-GB"/>
        </w:rPr>
      </w:pPr>
      <w:r w:rsidRPr="00EC52E7">
        <w:rPr>
          <w:lang w:val="en-GB"/>
        </w:rPr>
        <w:t>2 October 2015</w:t>
      </w:r>
    </w:p>
    <w:p w:rsidR="00BC46EB" w:rsidRDefault="00BC46EB" w:rsidP="00BC46EB">
      <w:pPr>
        <w:pStyle w:val="Heading2"/>
      </w:pPr>
      <w:r w:rsidRPr="00BC46EB">
        <w:lastRenderedPageBreak/>
        <w:t xml:space="preserve">Highlights and </w:t>
      </w:r>
      <w:r w:rsidR="00C0613C">
        <w:br/>
      </w:r>
      <w:r w:rsidRPr="00BC46EB">
        <w:t>achievements</w:t>
      </w:r>
    </w:p>
    <w:p w:rsidR="008B502A" w:rsidRPr="008B502A" w:rsidRDefault="008B502A" w:rsidP="008B502A">
      <w:pPr>
        <w:pStyle w:val="Heading3"/>
        <w:rPr>
          <w:lang w:val="en-GB"/>
        </w:rPr>
      </w:pPr>
      <w:r w:rsidRPr="008B502A">
        <w:rPr>
          <w:lang w:val="en-GB"/>
        </w:rPr>
        <w:t xml:space="preserve">Published </w:t>
      </w:r>
    </w:p>
    <w:p w:rsidR="008B502A" w:rsidRDefault="008B502A" w:rsidP="008B502A">
      <w:pPr>
        <w:rPr>
          <w:bCs/>
          <w:lang w:val="en-GB"/>
        </w:rPr>
      </w:pPr>
      <w:r w:rsidRPr="008B502A">
        <w:rPr>
          <w:bCs/>
          <w:lang w:val="en-GB"/>
        </w:rPr>
        <w:t xml:space="preserve">Updated </w:t>
      </w:r>
      <w:r w:rsidRPr="008B502A">
        <w:rPr>
          <w:i/>
          <w:iCs/>
          <w:lang w:val="en-GB"/>
        </w:rPr>
        <w:t>Pricing Framework for Australian Public Hospital Services 2015–16</w:t>
      </w:r>
      <w:r w:rsidRPr="008B502A">
        <w:rPr>
          <w:bCs/>
          <w:lang w:val="en-GB"/>
        </w:rPr>
        <w:t>.</w:t>
      </w:r>
    </w:p>
    <w:p w:rsidR="001E52C2" w:rsidRPr="008B502A" w:rsidRDefault="001E52C2" w:rsidP="001E52C2">
      <w:pPr>
        <w:rPr>
          <w:bCs/>
          <w:lang w:val="en-GB"/>
        </w:rPr>
      </w:pPr>
      <w:r w:rsidRPr="008B502A">
        <w:rPr>
          <w:bCs/>
          <w:lang w:val="en-GB"/>
        </w:rPr>
        <w:t>Annual update to the </w:t>
      </w:r>
      <w:r w:rsidRPr="008B502A">
        <w:rPr>
          <w:i/>
          <w:iCs/>
          <w:lang w:val="en-GB"/>
        </w:rPr>
        <w:t>Three Year Data Plan 2015–16 – 2017–18</w:t>
      </w:r>
      <w:r w:rsidRPr="008B502A">
        <w:rPr>
          <w:bCs/>
          <w:lang w:val="en-GB"/>
        </w:rPr>
        <w:t>.</w:t>
      </w:r>
    </w:p>
    <w:p w:rsidR="008B502A" w:rsidRPr="008B502A" w:rsidRDefault="008B502A" w:rsidP="008B502A">
      <w:pPr>
        <w:pStyle w:val="Heading3"/>
        <w:rPr>
          <w:lang w:val="en-GB"/>
        </w:rPr>
      </w:pPr>
      <w:r w:rsidRPr="008B502A">
        <w:rPr>
          <w:lang w:val="en-GB"/>
        </w:rPr>
        <w:t>Determined</w:t>
      </w:r>
    </w:p>
    <w:p w:rsidR="008B502A" w:rsidRPr="008B502A" w:rsidRDefault="008B502A" w:rsidP="008B502A">
      <w:pPr>
        <w:rPr>
          <w:bCs/>
          <w:lang w:val="en-GB"/>
        </w:rPr>
      </w:pPr>
      <w:r w:rsidRPr="008B502A">
        <w:rPr>
          <w:bCs/>
          <w:lang w:val="en-GB"/>
        </w:rPr>
        <w:t>National Efficient Price (NEP) and National Efficient Cost (NEC) for 2015–16.</w:t>
      </w:r>
    </w:p>
    <w:p w:rsidR="008B502A" w:rsidRPr="008B502A" w:rsidRDefault="008B502A" w:rsidP="008B502A">
      <w:pPr>
        <w:pStyle w:val="Heading3"/>
        <w:rPr>
          <w:lang w:val="en-GB"/>
        </w:rPr>
      </w:pPr>
      <w:r w:rsidRPr="008B502A">
        <w:rPr>
          <w:lang w:val="en-GB"/>
        </w:rPr>
        <w:t>Developed</w:t>
      </w:r>
    </w:p>
    <w:p w:rsidR="008B502A" w:rsidRPr="008B502A" w:rsidRDefault="008B502A" w:rsidP="008B502A">
      <w:pPr>
        <w:rPr>
          <w:bCs/>
          <w:lang w:val="en-GB"/>
        </w:rPr>
      </w:pPr>
      <w:r w:rsidRPr="008B502A">
        <w:rPr>
          <w:bCs/>
          <w:lang w:val="en-GB"/>
        </w:rPr>
        <w:t>National pricing models in consultation with stakeholders.</w:t>
      </w:r>
    </w:p>
    <w:p w:rsidR="008B502A" w:rsidRPr="008B502A" w:rsidRDefault="008B502A" w:rsidP="008B502A">
      <w:pPr>
        <w:pStyle w:val="Heading3"/>
        <w:rPr>
          <w:lang w:val="en-GB"/>
        </w:rPr>
      </w:pPr>
      <w:r w:rsidRPr="008B502A">
        <w:rPr>
          <w:lang w:val="en-GB"/>
        </w:rPr>
        <w:t>Collected</w:t>
      </w:r>
    </w:p>
    <w:p w:rsidR="008B502A" w:rsidRPr="008B502A" w:rsidRDefault="008B502A" w:rsidP="008B502A">
      <w:pPr>
        <w:rPr>
          <w:bCs/>
          <w:lang w:val="en-GB"/>
        </w:rPr>
      </w:pPr>
      <w:r w:rsidRPr="008B502A">
        <w:rPr>
          <w:bCs/>
          <w:lang w:val="en-GB"/>
        </w:rPr>
        <w:t xml:space="preserve">National Hospital Cost Data Collection (NHCDC) Round 17 in public and private hospitals. The NHCDC is a primary input into the National Efficient Price (NEP) Determination. </w:t>
      </w:r>
    </w:p>
    <w:p w:rsidR="008B502A" w:rsidRPr="008B502A" w:rsidRDefault="008B502A" w:rsidP="008B502A">
      <w:pPr>
        <w:pStyle w:val="Heading3"/>
        <w:rPr>
          <w:lang w:val="en-GB"/>
        </w:rPr>
      </w:pPr>
      <w:r w:rsidRPr="008B502A">
        <w:rPr>
          <w:lang w:val="en-GB"/>
        </w:rPr>
        <w:t>Reviewed</w:t>
      </w:r>
    </w:p>
    <w:p w:rsidR="008B502A" w:rsidRPr="008B502A" w:rsidRDefault="008B502A" w:rsidP="00C0613C">
      <w:pPr>
        <w:ind w:right="-2"/>
        <w:rPr>
          <w:bCs/>
          <w:lang w:val="en-GB"/>
        </w:rPr>
      </w:pPr>
      <w:r w:rsidRPr="008B502A">
        <w:rPr>
          <w:bCs/>
          <w:lang w:val="en-GB"/>
        </w:rPr>
        <w:t xml:space="preserve">Tier 2 non-admitted services classification publishing updates to the </w:t>
      </w:r>
      <w:r w:rsidRPr="008B502A">
        <w:rPr>
          <w:i/>
          <w:iCs/>
          <w:lang w:val="en-GB"/>
        </w:rPr>
        <w:t>Non-admitted Services Definition Manual</w:t>
      </w:r>
      <w:r w:rsidRPr="008B502A">
        <w:rPr>
          <w:bCs/>
          <w:lang w:val="en-GB"/>
        </w:rPr>
        <w:t xml:space="preserve"> and </w:t>
      </w:r>
      <w:r w:rsidRPr="008B502A">
        <w:rPr>
          <w:i/>
          <w:iCs/>
          <w:lang w:val="en-GB"/>
        </w:rPr>
        <w:t>Non-admitted Services Compendium</w:t>
      </w:r>
      <w:r w:rsidRPr="008B502A">
        <w:rPr>
          <w:bCs/>
          <w:lang w:val="en-GB"/>
        </w:rPr>
        <w:t>.</w:t>
      </w:r>
    </w:p>
    <w:p w:rsidR="008B502A" w:rsidRPr="008B502A" w:rsidRDefault="008B502A" w:rsidP="001E52C2">
      <w:pPr>
        <w:ind w:right="-569"/>
        <w:rPr>
          <w:bCs/>
          <w:lang w:val="en-GB"/>
        </w:rPr>
      </w:pPr>
      <w:r w:rsidRPr="008B502A">
        <w:rPr>
          <w:bCs/>
          <w:lang w:val="en-GB"/>
        </w:rPr>
        <w:t>Australian National Subacute and Non-Acute Patient (AN</w:t>
      </w:r>
      <w:r w:rsidRPr="008B502A">
        <w:rPr>
          <w:bCs/>
          <w:lang w:val="en-GB"/>
        </w:rPr>
        <w:noBreakHyphen/>
        <w:t>SNAP) classification resulting in the development of the fourth version of AN</w:t>
      </w:r>
      <w:r w:rsidRPr="008B502A">
        <w:rPr>
          <w:bCs/>
          <w:lang w:val="en-GB"/>
        </w:rPr>
        <w:noBreakHyphen/>
        <w:t>SNAP.</w:t>
      </w:r>
    </w:p>
    <w:p w:rsidR="008B502A" w:rsidRPr="008B502A" w:rsidRDefault="008B502A" w:rsidP="008B502A">
      <w:pPr>
        <w:pStyle w:val="Heading3"/>
        <w:rPr>
          <w:lang w:val="en-GB"/>
        </w:rPr>
      </w:pPr>
      <w:r w:rsidRPr="008B502A">
        <w:rPr>
          <w:lang w:val="en-GB"/>
        </w:rPr>
        <w:t>Completed</w:t>
      </w:r>
    </w:p>
    <w:p w:rsidR="008B502A" w:rsidRPr="008B502A" w:rsidRDefault="008B502A" w:rsidP="00C0613C">
      <w:pPr>
        <w:ind w:right="-2"/>
        <w:rPr>
          <w:bCs/>
          <w:lang w:val="en-GB"/>
        </w:rPr>
      </w:pPr>
      <w:r w:rsidRPr="008B502A">
        <w:rPr>
          <w:bCs/>
          <w:lang w:val="en-GB"/>
        </w:rPr>
        <w:t xml:space="preserve">Coding of non-admitted data obtained from the </w:t>
      </w:r>
      <w:r w:rsidRPr="008B502A">
        <w:rPr>
          <w:i/>
          <w:iCs/>
          <w:lang w:val="en-GB"/>
        </w:rPr>
        <w:t>National Non-Admitted and Subacute Costing Study</w:t>
      </w:r>
      <w:r w:rsidRPr="008B502A">
        <w:rPr>
          <w:bCs/>
          <w:lang w:val="en-GB"/>
        </w:rPr>
        <w:t>.</w:t>
      </w:r>
    </w:p>
    <w:p w:rsidR="008B502A" w:rsidRPr="008B502A" w:rsidRDefault="008B502A" w:rsidP="00C0613C">
      <w:pPr>
        <w:ind w:right="-2"/>
        <w:rPr>
          <w:bCs/>
          <w:lang w:val="en-GB"/>
        </w:rPr>
      </w:pPr>
      <w:r w:rsidRPr="008B502A">
        <w:rPr>
          <w:bCs/>
          <w:lang w:val="en-GB"/>
        </w:rPr>
        <w:t>Australian Refined Diagnosis Related Groups (AR-DRG) version 8.0 and International Statistical Classification of Diseases and Related Health Problems, 10th Revision, Australian Modification (ICD-10-AM) Ninth edition.</w:t>
      </w:r>
    </w:p>
    <w:p w:rsidR="008B502A" w:rsidRPr="008B502A" w:rsidRDefault="008B502A" w:rsidP="00C0613C">
      <w:pPr>
        <w:ind w:right="-2"/>
        <w:rPr>
          <w:bCs/>
          <w:lang w:val="en-GB"/>
        </w:rPr>
      </w:pPr>
      <w:r w:rsidRPr="008B502A">
        <w:rPr>
          <w:bCs/>
          <w:lang w:val="en-GB"/>
        </w:rPr>
        <w:t xml:space="preserve">A mental health care costing study to inform the development of the Australian Mental Health Care Classification. </w:t>
      </w:r>
    </w:p>
    <w:p w:rsidR="008B502A" w:rsidRPr="008B502A" w:rsidRDefault="008B502A" w:rsidP="008B502A">
      <w:pPr>
        <w:pStyle w:val="Heading3"/>
        <w:rPr>
          <w:lang w:val="en-GB"/>
        </w:rPr>
      </w:pPr>
      <w:r w:rsidRPr="008B502A">
        <w:rPr>
          <w:lang w:val="en-GB"/>
        </w:rPr>
        <w:t>Provided</w:t>
      </w:r>
    </w:p>
    <w:p w:rsidR="008B502A" w:rsidRPr="008B502A" w:rsidRDefault="008B502A" w:rsidP="00C0613C">
      <w:pPr>
        <w:ind w:right="-2"/>
        <w:rPr>
          <w:bCs/>
          <w:lang w:val="en-GB"/>
        </w:rPr>
      </w:pPr>
      <w:r w:rsidRPr="008B502A">
        <w:rPr>
          <w:bCs/>
          <w:lang w:val="en-GB"/>
        </w:rPr>
        <w:t>Advice to the COAG Health Council on the feasibility of transitioning funding for teaching, training and research to ABF or other appropriate arrangements.</w:t>
      </w:r>
    </w:p>
    <w:p w:rsidR="008B502A" w:rsidRPr="008B502A" w:rsidRDefault="008B502A" w:rsidP="008B502A">
      <w:pPr>
        <w:pStyle w:val="Heading3"/>
        <w:rPr>
          <w:lang w:val="en-GB"/>
        </w:rPr>
      </w:pPr>
      <w:r w:rsidRPr="008B502A">
        <w:rPr>
          <w:lang w:val="en-GB"/>
        </w:rPr>
        <w:t>Delivered</w:t>
      </w:r>
    </w:p>
    <w:p w:rsidR="008B502A" w:rsidRPr="008B502A" w:rsidRDefault="008B502A" w:rsidP="00C0613C">
      <w:pPr>
        <w:ind w:right="-2"/>
      </w:pPr>
      <w:r w:rsidRPr="008B502A">
        <w:rPr>
          <w:bCs/>
          <w:lang w:val="en-GB"/>
        </w:rPr>
        <w:t>Activity Based Funding Conference 2015 for approximately 400 delegates in Adelaide.</w:t>
      </w:r>
    </w:p>
    <w:p w:rsidR="00BC46EB" w:rsidRDefault="008B502A" w:rsidP="008B502A">
      <w:pPr>
        <w:pStyle w:val="Heading2"/>
      </w:pPr>
      <w:r>
        <w:lastRenderedPageBreak/>
        <w:t xml:space="preserve">looking </w:t>
      </w:r>
      <w:r>
        <w:br/>
        <w:t>ahead</w:t>
      </w:r>
    </w:p>
    <w:p w:rsidR="008B502A" w:rsidRPr="008B502A" w:rsidRDefault="008B502A" w:rsidP="00745C47">
      <w:pPr>
        <w:pStyle w:val="ListBullet"/>
        <w:rPr>
          <w:lang w:val="en-GB"/>
        </w:rPr>
      </w:pPr>
      <w:r w:rsidRPr="008B502A">
        <w:rPr>
          <w:lang w:val="en-GB"/>
        </w:rPr>
        <w:t xml:space="preserve">Publication of the </w:t>
      </w:r>
      <w:r w:rsidRPr="00745C47">
        <w:rPr>
          <w:rStyle w:val="Emphasis"/>
        </w:rPr>
        <w:t xml:space="preserve">Pricing Framework for Australian </w:t>
      </w:r>
      <w:r w:rsidR="00024EF0">
        <w:rPr>
          <w:rStyle w:val="Emphasis"/>
        </w:rPr>
        <w:br/>
      </w:r>
      <w:r w:rsidRPr="00745C47">
        <w:rPr>
          <w:rStyle w:val="Emphasis"/>
        </w:rPr>
        <w:t>Public Hospital Services</w:t>
      </w:r>
      <w:r w:rsidRPr="008B502A">
        <w:rPr>
          <w:lang w:val="en-GB"/>
        </w:rPr>
        <w:t xml:space="preserve"> </w:t>
      </w:r>
      <w:r w:rsidRPr="00745C47">
        <w:rPr>
          <w:rStyle w:val="Emphasis"/>
        </w:rPr>
        <w:t>2016–17</w:t>
      </w:r>
      <w:r w:rsidRPr="008B502A">
        <w:rPr>
          <w:lang w:val="en-GB"/>
        </w:rPr>
        <w:t>.</w:t>
      </w:r>
    </w:p>
    <w:p w:rsidR="008B502A" w:rsidRPr="008B502A" w:rsidRDefault="008B502A" w:rsidP="00745C47">
      <w:pPr>
        <w:pStyle w:val="ListBullet"/>
        <w:rPr>
          <w:lang w:val="en-GB"/>
        </w:rPr>
      </w:pPr>
      <w:r w:rsidRPr="008B502A">
        <w:rPr>
          <w:lang w:val="en-GB"/>
        </w:rPr>
        <w:t xml:space="preserve">The National Efficient Price and National Efficient Cost </w:t>
      </w:r>
      <w:r w:rsidR="00024EF0">
        <w:rPr>
          <w:lang w:val="en-GB"/>
        </w:rPr>
        <w:br/>
      </w:r>
      <w:r w:rsidRPr="008B502A">
        <w:rPr>
          <w:lang w:val="en-GB"/>
        </w:rPr>
        <w:t>Determinations for 2016-17.</w:t>
      </w:r>
    </w:p>
    <w:p w:rsidR="008B502A" w:rsidRPr="008B502A" w:rsidRDefault="008B502A" w:rsidP="00745C47">
      <w:pPr>
        <w:pStyle w:val="ListBullet"/>
        <w:rPr>
          <w:lang w:val="en-GB"/>
        </w:rPr>
      </w:pPr>
      <w:r w:rsidRPr="008B502A">
        <w:rPr>
          <w:lang w:val="en-GB"/>
        </w:rPr>
        <w:t xml:space="preserve">Australian Mental Health Care Classification (AMHCC) version </w:t>
      </w:r>
      <w:r w:rsidR="00024EF0">
        <w:rPr>
          <w:lang w:val="en-GB"/>
        </w:rPr>
        <w:br/>
      </w:r>
      <w:r w:rsidRPr="008B502A">
        <w:rPr>
          <w:lang w:val="en-GB"/>
        </w:rPr>
        <w:t xml:space="preserve">1.0 released and the pilot project for the AMHCC completed in </w:t>
      </w:r>
      <w:r w:rsidR="00024EF0">
        <w:rPr>
          <w:lang w:val="en-GB"/>
        </w:rPr>
        <w:br/>
      </w:r>
      <w:r w:rsidRPr="008B502A">
        <w:rPr>
          <w:lang w:val="en-GB"/>
        </w:rPr>
        <w:t>preparation for future national implementation.</w:t>
      </w:r>
    </w:p>
    <w:p w:rsidR="008B502A" w:rsidRPr="008B502A" w:rsidRDefault="008B502A" w:rsidP="00745C47">
      <w:pPr>
        <w:pStyle w:val="ListBullet"/>
        <w:rPr>
          <w:lang w:val="en-GB"/>
        </w:rPr>
      </w:pPr>
      <w:r w:rsidRPr="008B502A">
        <w:rPr>
          <w:lang w:val="en-GB"/>
        </w:rPr>
        <w:t xml:space="preserve">Development of initiatives to improve the robustness of the National Hospital Cost Data Collection (NHCDC) and develop version 4.0 of </w:t>
      </w:r>
      <w:r w:rsidR="00024EF0">
        <w:rPr>
          <w:lang w:val="en-GB"/>
        </w:rPr>
        <w:br/>
      </w:r>
      <w:r w:rsidRPr="008B502A">
        <w:rPr>
          <w:lang w:val="en-GB"/>
        </w:rPr>
        <w:t xml:space="preserve">the </w:t>
      </w:r>
      <w:r w:rsidRPr="008B502A">
        <w:rPr>
          <w:i/>
          <w:iCs/>
          <w:lang w:val="en-GB"/>
        </w:rPr>
        <w:t>Australian Hospital Patient Costing Standards</w:t>
      </w:r>
      <w:r w:rsidRPr="008B502A">
        <w:rPr>
          <w:lang w:val="en-GB"/>
        </w:rPr>
        <w:t>.</w:t>
      </w:r>
    </w:p>
    <w:p w:rsidR="008B502A" w:rsidRPr="008B502A" w:rsidRDefault="008B502A" w:rsidP="00745C47">
      <w:pPr>
        <w:pStyle w:val="ListBullet"/>
        <w:rPr>
          <w:lang w:val="en-GB"/>
        </w:rPr>
      </w:pPr>
      <w:r w:rsidRPr="008B502A">
        <w:rPr>
          <w:lang w:val="en-GB"/>
        </w:rPr>
        <w:t>Publication of the NHCDC Round 17 cost report for public hospitals and private hospitals.</w:t>
      </w:r>
    </w:p>
    <w:p w:rsidR="008B502A" w:rsidRPr="008B502A" w:rsidRDefault="008B502A" w:rsidP="00745C47">
      <w:pPr>
        <w:pStyle w:val="ListBullet"/>
        <w:rPr>
          <w:lang w:val="en-GB"/>
        </w:rPr>
      </w:pPr>
      <w:r w:rsidRPr="008B502A">
        <w:rPr>
          <w:lang w:val="en-GB"/>
        </w:rPr>
        <w:t xml:space="preserve">Completion of the Annual review of the Tier 2 non-admitted services classification. Commencement of the development of the new Australian </w:t>
      </w:r>
      <w:r w:rsidRPr="008B502A">
        <w:rPr>
          <w:lang w:val="en-GB"/>
        </w:rPr>
        <w:br/>
        <w:t>Non-admitted Care Classification (ANACC).</w:t>
      </w:r>
    </w:p>
    <w:p w:rsidR="008B502A" w:rsidRPr="008B502A" w:rsidRDefault="008B502A" w:rsidP="00745C47">
      <w:pPr>
        <w:pStyle w:val="ListBullet"/>
        <w:rPr>
          <w:lang w:val="en-GB"/>
        </w:rPr>
      </w:pPr>
      <w:r w:rsidRPr="008B502A">
        <w:rPr>
          <w:lang w:val="en-GB"/>
        </w:rPr>
        <w:t>Commencement of the development and refinement of the Australian Refined Diagnosis Related Group (AR-DRG) version 9.0 and International Statistical Classification of Diseases and Related Health Problems, Tenth Revision, Australian Modification (ICD-10-AM) 10th edition for admitted acute care.</w:t>
      </w:r>
    </w:p>
    <w:p w:rsidR="008B502A" w:rsidRPr="008B502A" w:rsidRDefault="008B502A" w:rsidP="00745C47">
      <w:pPr>
        <w:pStyle w:val="ListBullet"/>
        <w:rPr>
          <w:lang w:val="en-GB"/>
        </w:rPr>
      </w:pPr>
      <w:r w:rsidRPr="008B502A">
        <w:rPr>
          <w:lang w:val="en-GB"/>
        </w:rPr>
        <w:t xml:space="preserve">Completion of work on the Teaching, Training and Research (TTR) </w:t>
      </w:r>
      <w:r w:rsidR="00024EF0">
        <w:rPr>
          <w:lang w:val="en-GB"/>
        </w:rPr>
        <w:br/>
      </w:r>
      <w:r w:rsidRPr="008B502A">
        <w:rPr>
          <w:lang w:val="en-GB"/>
        </w:rPr>
        <w:t xml:space="preserve">costing study to inform the development of a TTR classification. </w:t>
      </w:r>
    </w:p>
    <w:p w:rsidR="008B502A" w:rsidRPr="008B502A" w:rsidRDefault="008B502A" w:rsidP="00745C47">
      <w:pPr>
        <w:pStyle w:val="ListBullet"/>
        <w:rPr>
          <w:lang w:val="en-GB"/>
        </w:rPr>
      </w:pPr>
      <w:r w:rsidRPr="008B502A">
        <w:rPr>
          <w:lang w:val="en-GB"/>
        </w:rPr>
        <w:t>Commence the development of a new emergency care classification system including undertaking a targeted costing study to inform classification and data development.</w:t>
      </w:r>
    </w:p>
    <w:p w:rsidR="008B502A" w:rsidRPr="008B502A" w:rsidRDefault="008B502A" w:rsidP="00745C47">
      <w:pPr>
        <w:pStyle w:val="ListBullet"/>
        <w:rPr>
          <w:lang w:val="en-GB"/>
        </w:rPr>
      </w:pPr>
      <w:r w:rsidRPr="008B502A">
        <w:rPr>
          <w:lang w:val="en-GB"/>
        </w:rPr>
        <w:t xml:space="preserve">Continue to support the development of the subacute care </w:t>
      </w:r>
      <w:r w:rsidR="00024EF0">
        <w:rPr>
          <w:lang w:val="en-GB"/>
        </w:rPr>
        <w:br/>
      </w:r>
      <w:r w:rsidRPr="008B502A">
        <w:rPr>
          <w:lang w:val="en-GB"/>
        </w:rPr>
        <w:t xml:space="preserve">classification focusing on the development of an improved </w:t>
      </w:r>
      <w:r w:rsidR="00024EF0">
        <w:rPr>
          <w:lang w:val="en-GB"/>
        </w:rPr>
        <w:br/>
      </w:r>
      <w:r w:rsidRPr="008B502A">
        <w:rPr>
          <w:lang w:val="en-GB"/>
        </w:rPr>
        <w:t xml:space="preserve">classification for Geriatric Evaluation Management (GEM) </w:t>
      </w:r>
      <w:r w:rsidR="00024EF0">
        <w:rPr>
          <w:lang w:val="en-GB"/>
        </w:rPr>
        <w:br/>
      </w:r>
      <w:r w:rsidRPr="008B502A">
        <w:rPr>
          <w:lang w:val="en-GB"/>
        </w:rPr>
        <w:t>services.</w:t>
      </w:r>
    </w:p>
    <w:p w:rsidR="008B502A" w:rsidRDefault="008B502A" w:rsidP="00745C47">
      <w:pPr>
        <w:pStyle w:val="ListBullet"/>
        <w:rPr>
          <w:lang w:val="en-GB"/>
        </w:rPr>
      </w:pPr>
      <w:r w:rsidRPr="008B502A">
        <w:rPr>
          <w:lang w:val="en-GB"/>
        </w:rPr>
        <w:t xml:space="preserve">Hosting the 2016 Activity Based Funding Conference in </w:t>
      </w:r>
      <w:r w:rsidR="00024EF0">
        <w:rPr>
          <w:lang w:val="en-GB"/>
        </w:rPr>
        <w:br/>
      </w:r>
      <w:r w:rsidRPr="008B502A">
        <w:rPr>
          <w:lang w:val="en-GB"/>
        </w:rPr>
        <w:t>Brisbane.</w:t>
      </w:r>
    </w:p>
    <w:p w:rsidR="008B502A" w:rsidRDefault="008B502A" w:rsidP="008B502A">
      <w:pPr>
        <w:rPr>
          <w:lang w:val="en-GB"/>
        </w:rPr>
      </w:pPr>
      <w:r>
        <w:rPr>
          <w:lang w:val="en-GB"/>
        </w:rPr>
        <w:br w:type="page"/>
      </w:r>
    </w:p>
    <w:p w:rsidR="008B502A" w:rsidRDefault="008B502A" w:rsidP="008B502A">
      <w:pPr>
        <w:pStyle w:val="Heading2"/>
      </w:pPr>
      <w:r w:rsidRPr="008B502A">
        <w:lastRenderedPageBreak/>
        <w:t>What is Activity Based Funding?</w:t>
      </w:r>
    </w:p>
    <w:p w:rsidR="008B502A" w:rsidRPr="008B502A" w:rsidRDefault="008B502A" w:rsidP="008B502A">
      <w:pPr>
        <w:pStyle w:val="Intro"/>
        <w:rPr>
          <w:lang w:val="en-GB"/>
        </w:rPr>
      </w:pPr>
      <w:r w:rsidRPr="008B502A">
        <w:rPr>
          <w:lang w:val="en-GB"/>
        </w:rPr>
        <w:t>Activity Based Funding (ABF) is a way of funding public hospital services. ABF allows for the number and mix of patients to determine funding. If a hospital has more activity, it receives more funding. ABF also has the ability to take into account a patient that is more complicated to treat than others.</w:t>
      </w:r>
    </w:p>
    <w:p w:rsidR="008B502A" w:rsidRPr="008B502A" w:rsidRDefault="008B502A" w:rsidP="008B502A">
      <w:pPr>
        <w:rPr>
          <w:lang w:val="en-GB"/>
        </w:rPr>
      </w:pPr>
      <w:r w:rsidRPr="008B502A">
        <w:rPr>
          <w:lang w:val="en-GB"/>
        </w:rPr>
        <w:t xml:space="preserve">ABF aims to improve transparency across the health care system and the sustainability and efficiency of public hospital services. </w:t>
      </w:r>
    </w:p>
    <w:p w:rsidR="008B502A" w:rsidRPr="008B502A" w:rsidRDefault="008B502A" w:rsidP="008B502A">
      <w:pPr>
        <w:rPr>
          <w:lang w:val="en-GB"/>
        </w:rPr>
      </w:pPr>
      <w:r w:rsidRPr="008B502A">
        <w:rPr>
          <w:lang w:val="en-GB"/>
        </w:rPr>
        <w:t>The building blocks required for an ABF system are:</w:t>
      </w:r>
    </w:p>
    <w:p w:rsidR="008B502A" w:rsidRPr="008B502A" w:rsidRDefault="008B502A" w:rsidP="008B502A">
      <w:pPr>
        <w:pStyle w:val="Heading3"/>
        <w:rPr>
          <w:lang w:val="en-GB"/>
        </w:rPr>
      </w:pPr>
      <w:r w:rsidRPr="008B502A">
        <w:rPr>
          <w:lang w:val="en-GB"/>
        </w:rPr>
        <w:t>Classification</w:t>
      </w:r>
    </w:p>
    <w:p w:rsidR="008B502A" w:rsidRPr="008B502A" w:rsidRDefault="008B502A" w:rsidP="008B502A">
      <w:pPr>
        <w:rPr>
          <w:lang w:val="en-GB"/>
        </w:rPr>
      </w:pPr>
      <w:r w:rsidRPr="008B502A">
        <w:rPr>
          <w:lang w:val="en-GB"/>
        </w:rPr>
        <w:t>Classifications aim to provide the health care sector with a nationally consistent method of classifying all types of patients, their treatment and associated costs in order to provide better management, measurement and funding of high quality and efficient health care services.</w:t>
      </w:r>
    </w:p>
    <w:p w:rsidR="008B502A" w:rsidRPr="008B502A" w:rsidRDefault="008B502A" w:rsidP="008B502A">
      <w:pPr>
        <w:pStyle w:val="Heading3"/>
        <w:rPr>
          <w:lang w:val="en-GB"/>
        </w:rPr>
      </w:pPr>
      <w:r w:rsidRPr="008B502A">
        <w:rPr>
          <w:lang w:val="en-GB"/>
        </w:rPr>
        <w:t>Counting</w:t>
      </w:r>
    </w:p>
    <w:p w:rsidR="008B502A" w:rsidRPr="008B502A" w:rsidRDefault="008B502A" w:rsidP="008B502A">
      <w:pPr>
        <w:rPr>
          <w:lang w:val="en-GB"/>
        </w:rPr>
      </w:pPr>
      <w:r w:rsidRPr="008B502A">
        <w:rPr>
          <w:lang w:val="en-GB"/>
        </w:rPr>
        <w:t>Each patient episode needs to be counted. This includes inpatient admissions, emergency department presentations and outpatient appointments as well as a range of mental health and rehabilitation services.</w:t>
      </w:r>
    </w:p>
    <w:p w:rsidR="008B502A" w:rsidRPr="008B502A" w:rsidRDefault="008B502A" w:rsidP="008B502A">
      <w:pPr>
        <w:pStyle w:val="Heading3"/>
        <w:rPr>
          <w:lang w:val="en-GB"/>
        </w:rPr>
      </w:pPr>
      <w:r w:rsidRPr="008B502A">
        <w:rPr>
          <w:lang w:val="en-GB"/>
        </w:rPr>
        <w:t>Costing</w:t>
      </w:r>
    </w:p>
    <w:p w:rsidR="008B502A" w:rsidRPr="008B502A" w:rsidRDefault="008B502A" w:rsidP="008B502A">
      <w:pPr>
        <w:rPr>
          <w:lang w:val="en-GB"/>
        </w:rPr>
      </w:pPr>
      <w:r w:rsidRPr="008B502A">
        <w:rPr>
          <w:lang w:val="en-GB"/>
        </w:rPr>
        <w:t>A representative number of patient episodes are costed. This information is used for developing the classification system and for the pricing model.</w:t>
      </w:r>
    </w:p>
    <w:p w:rsidR="008B502A" w:rsidRPr="008B502A" w:rsidRDefault="008B502A" w:rsidP="008B502A">
      <w:pPr>
        <w:pStyle w:val="Heading3"/>
        <w:rPr>
          <w:lang w:val="en-GB"/>
        </w:rPr>
      </w:pPr>
      <w:r w:rsidRPr="008B502A">
        <w:rPr>
          <w:lang w:val="en-GB"/>
        </w:rPr>
        <w:t>Pricing</w:t>
      </w:r>
    </w:p>
    <w:p w:rsidR="008B502A" w:rsidRDefault="008B502A" w:rsidP="00BC46EB">
      <w:pPr>
        <w:rPr>
          <w:lang w:val="en-GB"/>
        </w:rPr>
      </w:pPr>
      <w:r w:rsidRPr="008B502A">
        <w:rPr>
          <w:lang w:val="en-GB"/>
        </w:rPr>
        <w:t>The pricing model determines how much is paid for an average patient. The pricing model needs to adequately recognise those factors which increase the cost of care which may not be picked up in the classification system, for example the additional cost of providing health services in remote areas, or to children.</w:t>
      </w:r>
      <w:r>
        <w:rPr>
          <w:lang w:val="en-GB"/>
        </w:rPr>
        <w:br w:type="page"/>
      </w:r>
    </w:p>
    <w:p w:rsidR="00A619C0" w:rsidRDefault="00A619C0" w:rsidP="00A619C0">
      <w:pPr>
        <w:pStyle w:val="Heading2"/>
      </w:pPr>
      <w:r w:rsidRPr="00A619C0">
        <w:lastRenderedPageBreak/>
        <w:t xml:space="preserve">Organisational </w:t>
      </w:r>
      <w:r>
        <w:br/>
      </w:r>
      <w:r w:rsidRPr="00A619C0">
        <w:t>structure</w:t>
      </w:r>
    </w:p>
    <w:p w:rsidR="00A619C0" w:rsidRPr="00A619C0" w:rsidRDefault="00A619C0" w:rsidP="00A619C0">
      <w:pPr>
        <w:pStyle w:val="Intro"/>
        <w:rPr>
          <w:lang w:val="en-GB"/>
        </w:rPr>
      </w:pPr>
      <w:r w:rsidRPr="00A619C0">
        <w:rPr>
          <w:lang w:val="en-GB"/>
        </w:rPr>
        <w:t xml:space="preserve">The Chief Executive Officer (CEO) of the Independent Hospital Pricing Authority (IHPA) is a statutory office holder and reports to the Pricing Authority, which reports to the Minister for Health. </w:t>
      </w:r>
    </w:p>
    <w:p w:rsidR="00A619C0" w:rsidRPr="00652C58" w:rsidRDefault="00A619C0" w:rsidP="00652C58">
      <w:pPr>
        <w:pStyle w:val="FigureHeading"/>
      </w:pPr>
      <w:r w:rsidRPr="00652C58">
        <w:t>Figure 1: IHPA’s organisational structure at 30 June 2015</w:t>
      </w:r>
    </w:p>
    <w:p w:rsidR="00A619C0" w:rsidRDefault="00BE1095" w:rsidP="00A619C0">
      <w:r>
        <w:rPr>
          <w:noProof/>
        </w:rPr>
        <w:drawing>
          <wp:inline distT="0" distB="0" distL="0" distR="0" wp14:anchorId="71145714" wp14:editId="345D8783">
            <wp:extent cx="6289963" cy="4222075"/>
            <wp:effectExtent l="0" t="0" r="0" b="7620"/>
            <wp:docPr id="26" name="Picture 26" descr="Figure one is entitled IHPA’s organisational structure at 30 June 2015&#10;First tier: Minister for Health&#10;Second tier: Pricing Authority Chair – Shane Solomon&#10;Third tier: Acting Chief Executive Officer –James Downie&#10;Fourth tier: (below the Chief Executive Officer): Activity based funding (ABF) – Vacant SES 1, &#10;Office of the CEO – Jane Barry EL2, Corporate Services – Peter Hadfield EL 2&#10;Fifth tier (below Activity Based Funding (ABF)): Classification and Coding Standards – Joanne Fitzgerald EL 2, Hospital Costing - Efstathios Tsangaris EL 2, Data Acquisition – Sheldon Le EL 2, Pricing Models – Bruce Cutting EL 2, Policy Development – Luke Clarke EL2, Mental Health Care – Jennifer Nobbs E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1896" cy="4230085"/>
                    </a:xfrm>
                    <a:prstGeom prst="rect">
                      <a:avLst/>
                    </a:prstGeom>
                  </pic:spPr>
                </pic:pic>
              </a:graphicData>
            </a:graphic>
          </wp:inline>
        </w:drawing>
      </w:r>
    </w:p>
    <w:p w:rsidR="00BE1095" w:rsidRDefault="00BE1095" w:rsidP="00A619C0">
      <w:r>
        <w:br w:type="page"/>
      </w:r>
    </w:p>
    <w:p w:rsidR="00BE1095" w:rsidRPr="00BE1095" w:rsidRDefault="00BE1095" w:rsidP="00BE1095">
      <w:pPr>
        <w:rPr>
          <w:lang w:val="en-GB"/>
        </w:rPr>
      </w:pPr>
      <w:r w:rsidRPr="00BE1095">
        <w:rPr>
          <w:lang w:val="en-GB"/>
        </w:rPr>
        <w:lastRenderedPageBreak/>
        <w:t>The organisational units and sections within the organisation operate as follows:</w:t>
      </w:r>
    </w:p>
    <w:p w:rsidR="00BE1095" w:rsidRPr="00BE1095" w:rsidRDefault="00BE1095" w:rsidP="00BE1095">
      <w:pPr>
        <w:pStyle w:val="Heading3"/>
        <w:rPr>
          <w:lang w:val="en-GB"/>
        </w:rPr>
      </w:pPr>
      <w:r w:rsidRPr="00BE1095">
        <w:rPr>
          <w:lang w:val="en-GB"/>
        </w:rPr>
        <w:t>Activity Based Funding</w:t>
      </w:r>
    </w:p>
    <w:p w:rsidR="00BE1095" w:rsidRPr="00BE1095" w:rsidRDefault="00BE1095" w:rsidP="00BE1095">
      <w:pPr>
        <w:rPr>
          <w:lang w:val="en-GB"/>
        </w:rPr>
      </w:pPr>
      <w:r w:rsidRPr="00BE1095">
        <w:rPr>
          <w:lang w:val="en-GB"/>
        </w:rPr>
        <w:t>IHPA’s Activity Based Funding (ABF) branch has six teams led by an Executive Director who is responsible for establishing and maintaining the infrastructure and systems required enabling the delivery of IHPA’s Work Program.</w:t>
      </w:r>
    </w:p>
    <w:p w:rsidR="00BE1095" w:rsidRPr="00BE1095" w:rsidRDefault="00BE1095" w:rsidP="00BE1095">
      <w:pPr>
        <w:rPr>
          <w:lang w:val="en-GB"/>
        </w:rPr>
      </w:pPr>
      <w:r w:rsidRPr="00BE1095">
        <w:rPr>
          <w:lang w:val="en-GB"/>
        </w:rPr>
        <w:t>The ABF branch also runs a number of advisory working groups that enable IHPA to consult with jurisdictions and other stakeholders on technical issues relating to classification, costing and data specifications.</w:t>
      </w:r>
    </w:p>
    <w:p w:rsidR="00BE1095" w:rsidRPr="00BE1095" w:rsidRDefault="00BE1095" w:rsidP="00BE1095">
      <w:pPr>
        <w:rPr>
          <w:lang w:val="en-GB"/>
        </w:rPr>
      </w:pPr>
      <w:r w:rsidRPr="00BE1095">
        <w:rPr>
          <w:lang w:val="en-GB"/>
        </w:rPr>
        <w:t>Six teams function within the ABF branch:</w:t>
      </w:r>
    </w:p>
    <w:p w:rsidR="00BE1095" w:rsidRPr="00BE1095" w:rsidRDefault="00BE1095" w:rsidP="00BE1095">
      <w:pPr>
        <w:pStyle w:val="Heading4"/>
        <w:rPr>
          <w:lang w:val="en-GB"/>
        </w:rPr>
      </w:pPr>
      <w:r w:rsidRPr="00BE1095">
        <w:rPr>
          <w:lang w:val="en-GB"/>
        </w:rPr>
        <w:t xml:space="preserve">1. Data Acquisition </w:t>
      </w:r>
    </w:p>
    <w:p w:rsidR="00BE1095" w:rsidRPr="00BE1095" w:rsidRDefault="00BE1095" w:rsidP="00BE1095">
      <w:pPr>
        <w:rPr>
          <w:lang w:val="en-GB"/>
        </w:rPr>
      </w:pPr>
      <w:r w:rsidRPr="00BE1095">
        <w:rPr>
          <w:lang w:val="en-GB"/>
        </w:rPr>
        <w:t>The Data Acquisition team works with states and territories to develop appropriate data specifications, and to acquire, validate and maintain data in the IHPA information technology environment. The team provides analytical support to the various teams in the ABF branch.</w:t>
      </w:r>
    </w:p>
    <w:p w:rsidR="00BE1095" w:rsidRPr="00BE1095" w:rsidRDefault="00BE1095" w:rsidP="00BE1095">
      <w:pPr>
        <w:pStyle w:val="Heading4"/>
        <w:rPr>
          <w:lang w:val="en-GB"/>
        </w:rPr>
      </w:pPr>
      <w:r w:rsidRPr="00BE1095">
        <w:rPr>
          <w:lang w:val="en-GB"/>
        </w:rPr>
        <w:t xml:space="preserve">2. Hospital Costing </w:t>
      </w:r>
    </w:p>
    <w:p w:rsidR="00BE1095" w:rsidRPr="00BE1095" w:rsidRDefault="00BE1095" w:rsidP="00BE1095">
      <w:pPr>
        <w:rPr>
          <w:lang w:val="en-GB"/>
        </w:rPr>
      </w:pPr>
      <w:r w:rsidRPr="00BE1095">
        <w:rPr>
          <w:lang w:val="en-GB"/>
        </w:rPr>
        <w:t>The Hospital Costing team works with stakeholders to coordinate the collection, validation, analysis and reporting of the National Hospital Cost Data Collection (NHCDC), in conjunction with states and territories and private hospitals. To ensure the NHCDC can continue to be a well-informed evidence based data collection, the Hospital Costing team also conduct specific costing studies.</w:t>
      </w:r>
    </w:p>
    <w:p w:rsidR="00BE1095" w:rsidRPr="00BE1095" w:rsidRDefault="00BE1095" w:rsidP="00BE1095">
      <w:pPr>
        <w:rPr>
          <w:lang w:val="en-GB"/>
        </w:rPr>
      </w:pPr>
      <w:r w:rsidRPr="00BE1095">
        <w:rPr>
          <w:lang w:val="en-GB"/>
        </w:rPr>
        <w:t xml:space="preserve">NHCDC data is also available to researchers in accordance with s. 221 of the </w:t>
      </w:r>
      <w:r w:rsidRPr="00BE1095">
        <w:rPr>
          <w:i/>
          <w:iCs/>
          <w:lang w:val="en-GB"/>
        </w:rPr>
        <w:t>National Health Reform Act 2011</w:t>
      </w:r>
      <w:r w:rsidRPr="00BE1095">
        <w:rPr>
          <w:lang w:val="en-GB"/>
        </w:rPr>
        <w:t>.</w:t>
      </w:r>
    </w:p>
    <w:p w:rsidR="00BE1095" w:rsidRPr="00BE1095" w:rsidRDefault="00BE1095" w:rsidP="00BE1095">
      <w:pPr>
        <w:pStyle w:val="Heading4"/>
        <w:rPr>
          <w:lang w:val="en-GB"/>
        </w:rPr>
      </w:pPr>
      <w:r w:rsidRPr="00BE1095">
        <w:rPr>
          <w:lang w:val="en-GB"/>
        </w:rPr>
        <w:t>3. Classification and Coding Standards</w:t>
      </w:r>
    </w:p>
    <w:p w:rsidR="00BE1095" w:rsidRPr="00BE1095" w:rsidRDefault="00BE1095" w:rsidP="00BE1095">
      <w:pPr>
        <w:rPr>
          <w:lang w:val="en-GB"/>
        </w:rPr>
      </w:pPr>
      <w:r w:rsidRPr="00BE1095">
        <w:rPr>
          <w:lang w:val="en-GB"/>
        </w:rPr>
        <w:t>The Classification and Coding Standards team works with clinical, technical and jurisdictional stakeholders to develop and maintain the clinical classifications, coding standards and business rules associated with the implementation of a nationally consistent ABF framework for public hospital services. The work of the team covers five work streams, in addition to providing input to mental health care.</w:t>
      </w:r>
    </w:p>
    <w:p w:rsidR="00BE1095" w:rsidRPr="00BE1095" w:rsidRDefault="00BE1095" w:rsidP="00BE1095">
      <w:pPr>
        <w:pStyle w:val="ListBullet"/>
        <w:rPr>
          <w:lang w:val="en-GB"/>
        </w:rPr>
      </w:pPr>
      <w:r w:rsidRPr="00BE1095">
        <w:rPr>
          <w:lang w:val="en-GB"/>
        </w:rPr>
        <w:t>Admitted acute</w:t>
      </w:r>
    </w:p>
    <w:p w:rsidR="00BE1095" w:rsidRPr="00BE1095" w:rsidRDefault="00BE1095" w:rsidP="00BE1095">
      <w:pPr>
        <w:pStyle w:val="ListBullet"/>
        <w:rPr>
          <w:lang w:val="en-GB"/>
        </w:rPr>
      </w:pPr>
      <w:r w:rsidRPr="00BE1095">
        <w:rPr>
          <w:lang w:val="en-GB"/>
        </w:rPr>
        <w:t>Non-admitted</w:t>
      </w:r>
    </w:p>
    <w:p w:rsidR="00BE1095" w:rsidRPr="00BE1095" w:rsidRDefault="00BE1095" w:rsidP="00BE1095">
      <w:pPr>
        <w:pStyle w:val="ListBullet"/>
        <w:rPr>
          <w:lang w:val="en-GB"/>
        </w:rPr>
      </w:pPr>
      <w:r w:rsidRPr="00BE1095">
        <w:rPr>
          <w:lang w:val="en-GB"/>
        </w:rPr>
        <w:t xml:space="preserve">Subacute and non-acute </w:t>
      </w:r>
    </w:p>
    <w:p w:rsidR="00BE1095" w:rsidRPr="00BE1095" w:rsidRDefault="00BE1095" w:rsidP="00BE1095">
      <w:pPr>
        <w:pStyle w:val="ListBullet"/>
        <w:rPr>
          <w:lang w:val="en-GB"/>
        </w:rPr>
      </w:pPr>
      <w:r w:rsidRPr="00BE1095">
        <w:rPr>
          <w:lang w:val="en-GB"/>
        </w:rPr>
        <w:t>Emergency</w:t>
      </w:r>
    </w:p>
    <w:p w:rsidR="00BE1095" w:rsidRPr="00BE1095" w:rsidRDefault="00BE1095" w:rsidP="00BE1095">
      <w:pPr>
        <w:pStyle w:val="ListBullet"/>
        <w:rPr>
          <w:lang w:val="en-GB"/>
        </w:rPr>
      </w:pPr>
      <w:r w:rsidRPr="00BE1095">
        <w:rPr>
          <w:lang w:val="en-GB"/>
        </w:rPr>
        <w:t>Teaching, Training and Research.</w:t>
      </w:r>
    </w:p>
    <w:p w:rsidR="00BE1095" w:rsidRPr="00BE1095" w:rsidRDefault="00BE1095" w:rsidP="00BE1095">
      <w:pPr>
        <w:rPr>
          <w:lang w:val="en-GB"/>
        </w:rPr>
      </w:pPr>
      <w:r w:rsidRPr="00BE1095">
        <w:rPr>
          <w:lang w:val="en-GB"/>
        </w:rPr>
        <w:t>The team is responsible for the management of licensing Australian Refined Diagnostic Related Groups (AR-DRGs) and International Statistical Classification of Diseases and Related Health Problems, Tenth Revision, Australian Modification (ICD-10-AM) to local and international markets.</w:t>
      </w:r>
    </w:p>
    <w:p w:rsidR="00BE1095" w:rsidRPr="00BE1095" w:rsidRDefault="00BE1095" w:rsidP="00BE1095">
      <w:pPr>
        <w:pStyle w:val="Heading4"/>
        <w:rPr>
          <w:lang w:val="en-GB"/>
        </w:rPr>
      </w:pPr>
      <w:r w:rsidRPr="00BE1095">
        <w:rPr>
          <w:lang w:val="en-GB"/>
        </w:rPr>
        <w:lastRenderedPageBreak/>
        <w:t>4. Pricing</w:t>
      </w:r>
    </w:p>
    <w:p w:rsidR="00BE1095" w:rsidRPr="00BE1095" w:rsidRDefault="00BE1095" w:rsidP="00BE1095">
      <w:pPr>
        <w:keepLines/>
        <w:rPr>
          <w:lang w:val="en-GB"/>
        </w:rPr>
      </w:pPr>
      <w:r w:rsidRPr="00BE1095">
        <w:rPr>
          <w:lang w:val="en-GB"/>
        </w:rPr>
        <w:t xml:space="preserve">The Pricing team develops the statistical models that underpin IHPA’s determination of the NEP and the NEC. It does this by developing costing models that best explain the expenditure of Local Hospital Networks (LHNs) nationally, and applying the policies contained within IHPA’s </w:t>
      </w:r>
      <w:r w:rsidRPr="00BE1095">
        <w:rPr>
          <w:i/>
          <w:iCs/>
          <w:lang w:val="en-GB"/>
        </w:rPr>
        <w:t>Pricing Framework for Australian Public Hospital Services</w:t>
      </w:r>
      <w:r w:rsidRPr="00BE1095">
        <w:rPr>
          <w:lang w:val="en-GB"/>
        </w:rPr>
        <w:t>.</w:t>
      </w:r>
    </w:p>
    <w:p w:rsidR="00BE1095" w:rsidRPr="00BE1095" w:rsidRDefault="00BE1095" w:rsidP="00BE1095">
      <w:pPr>
        <w:pStyle w:val="Heading4"/>
        <w:rPr>
          <w:lang w:val="en-GB"/>
        </w:rPr>
      </w:pPr>
      <w:r w:rsidRPr="00BE1095">
        <w:rPr>
          <w:lang w:val="en-GB"/>
        </w:rPr>
        <w:t>5. Mental Health Care</w:t>
      </w:r>
    </w:p>
    <w:p w:rsidR="00BE1095" w:rsidRPr="00BE1095" w:rsidRDefault="00BE1095" w:rsidP="00BE1095">
      <w:pPr>
        <w:rPr>
          <w:lang w:val="en-GB"/>
        </w:rPr>
      </w:pPr>
      <w:r w:rsidRPr="00BE1095">
        <w:rPr>
          <w:lang w:val="en-GB"/>
        </w:rPr>
        <w:t xml:space="preserve">The Mental Health Care team works with key stakeholders, largely through IHPA’s Mental Health Working Group to develop a new national classification for mental health care to enable ABF for mental health care services. </w:t>
      </w:r>
    </w:p>
    <w:p w:rsidR="00BE1095" w:rsidRPr="00BE1095" w:rsidRDefault="00BE1095" w:rsidP="00BE1095">
      <w:pPr>
        <w:pStyle w:val="Heading4"/>
        <w:rPr>
          <w:lang w:val="en-GB"/>
        </w:rPr>
      </w:pPr>
      <w:r w:rsidRPr="00BE1095">
        <w:rPr>
          <w:lang w:val="en-GB"/>
        </w:rPr>
        <w:t xml:space="preserve">6. Policy Development </w:t>
      </w:r>
    </w:p>
    <w:p w:rsidR="00BE1095" w:rsidRPr="00BE1095" w:rsidRDefault="00BE1095" w:rsidP="00BE1095">
      <w:pPr>
        <w:rPr>
          <w:lang w:val="en-GB"/>
        </w:rPr>
      </w:pPr>
      <w:r w:rsidRPr="00BE1095">
        <w:rPr>
          <w:lang w:val="en-GB"/>
        </w:rPr>
        <w:t xml:space="preserve">The team develops ABF policy across IHPA including matters relating to the </w:t>
      </w:r>
      <w:r w:rsidRPr="00BE1095">
        <w:rPr>
          <w:i/>
          <w:iCs/>
          <w:lang w:val="en-GB"/>
        </w:rPr>
        <w:t>Pricing Framework for Australian Public Hospital Services</w:t>
      </w:r>
      <w:r w:rsidRPr="00BE1095">
        <w:rPr>
          <w:lang w:val="en-GB"/>
        </w:rPr>
        <w:t>, the NEP Determination and the NEC Determination.</w:t>
      </w:r>
    </w:p>
    <w:p w:rsidR="00F8168B" w:rsidRPr="00F8168B" w:rsidRDefault="00F8168B" w:rsidP="00F8168B">
      <w:pPr>
        <w:pStyle w:val="Heading3"/>
        <w:rPr>
          <w:lang w:val="en-GB"/>
        </w:rPr>
      </w:pPr>
      <w:r w:rsidRPr="00F8168B">
        <w:rPr>
          <w:lang w:val="en-GB"/>
        </w:rPr>
        <w:t xml:space="preserve">Office of the CEO </w:t>
      </w:r>
    </w:p>
    <w:p w:rsidR="00F8168B" w:rsidRPr="00F8168B" w:rsidRDefault="00F8168B" w:rsidP="00F8168B">
      <w:pPr>
        <w:rPr>
          <w:lang w:val="en-GB"/>
        </w:rPr>
      </w:pPr>
      <w:r w:rsidRPr="00F8168B">
        <w:rPr>
          <w:lang w:val="en-GB"/>
        </w:rPr>
        <w:t xml:space="preserve">The Office of the CEO supports the CEO and IHPA in all ministerial, government and parliamentary matters as well as internal and external communications. This includes secretariat services, parliamentary correspondence, media, stakeholder engagement and website management. </w:t>
      </w:r>
    </w:p>
    <w:p w:rsidR="00F8168B" w:rsidRPr="00F8168B" w:rsidRDefault="00F8168B" w:rsidP="00F8168B">
      <w:pPr>
        <w:pStyle w:val="Heading3"/>
        <w:rPr>
          <w:lang w:val="en-GB"/>
        </w:rPr>
      </w:pPr>
      <w:r w:rsidRPr="00F8168B">
        <w:rPr>
          <w:lang w:val="en-GB"/>
        </w:rPr>
        <w:t xml:space="preserve">Corporate Services </w:t>
      </w:r>
    </w:p>
    <w:p w:rsidR="00F8168B" w:rsidRPr="00F8168B" w:rsidRDefault="00F8168B" w:rsidP="00F8168B">
      <w:pPr>
        <w:rPr>
          <w:lang w:val="en-GB"/>
        </w:rPr>
      </w:pPr>
      <w:r w:rsidRPr="00F8168B">
        <w:rPr>
          <w:lang w:val="en-GB"/>
        </w:rPr>
        <w:t xml:space="preserve">Corporate Services provide business support services in the areas of finance, human resource management, procurement, information and communication technology and governance. </w:t>
      </w:r>
    </w:p>
    <w:p w:rsidR="00F8168B" w:rsidRPr="00F8168B" w:rsidRDefault="00F8168B" w:rsidP="00F8168B">
      <w:pPr>
        <w:pStyle w:val="Heading3"/>
        <w:rPr>
          <w:lang w:val="en-GB"/>
        </w:rPr>
      </w:pPr>
      <w:r w:rsidRPr="00F8168B">
        <w:rPr>
          <w:lang w:val="en-GB"/>
        </w:rPr>
        <w:t xml:space="preserve">Dispute Resolution </w:t>
      </w:r>
    </w:p>
    <w:p w:rsidR="00F8168B" w:rsidRPr="00F8168B" w:rsidRDefault="00F8168B" w:rsidP="00F8168B">
      <w:pPr>
        <w:rPr>
          <w:lang w:val="en-GB"/>
        </w:rPr>
      </w:pPr>
      <w:r w:rsidRPr="00F8168B">
        <w:rPr>
          <w:lang w:val="en-GB"/>
        </w:rPr>
        <w:t>IHPA did not receive any dispute resolution referrals from health ministers this financial year; therefore plans to develop the role remain on hold.</w:t>
      </w:r>
    </w:p>
    <w:p w:rsidR="00ED4794" w:rsidRDefault="00ED4794" w:rsidP="00A619C0">
      <w:r>
        <w:br w:type="page"/>
      </w:r>
    </w:p>
    <w:p w:rsidR="00BE1095" w:rsidRDefault="00ED4794" w:rsidP="00ED4794">
      <w:pPr>
        <w:pStyle w:val="Heading2"/>
      </w:pPr>
      <w:r w:rsidRPr="00ED4794">
        <w:lastRenderedPageBreak/>
        <w:t>The Pricing Authority</w:t>
      </w:r>
    </w:p>
    <w:p w:rsidR="00ED4794" w:rsidRPr="00ED4794" w:rsidRDefault="00ED4794" w:rsidP="00ED4794">
      <w:pPr>
        <w:pStyle w:val="Intro"/>
        <w:rPr>
          <w:lang w:val="en-GB"/>
        </w:rPr>
      </w:pPr>
      <w:r w:rsidRPr="00ED4794">
        <w:rPr>
          <w:lang w:val="en-GB"/>
        </w:rPr>
        <w:t xml:space="preserve">The Pricing Authority has an overall governance role and is responsible for the proper and efficient performance of IHPA’s functions. The Pricing Authority consists of a Chair, a Deputy Chair and seven other members, with one position currently not filled. </w:t>
      </w:r>
    </w:p>
    <w:p w:rsidR="00ED4794" w:rsidRPr="00ED4794" w:rsidRDefault="00ED4794" w:rsidP="00ED4794">
      <w:pPr>
        <w:rPr>
          <w:lang w:val="en-GB"/>
        </w:rPr>
      </w:pPr>
      <w:r w:rsidRPr="00ED4794">
        <w:rPr>
          <w:lang w:val="en-GB"/>
        </w:rPr>
        <w:t>The Pricing Authority are appointed for a period not greater than five years. The Chair is selected and appointed by the Australian Government Minister for Health; the Deputy Chair is appointed with the agreement of first Ministers of all states and territories and the remaining Pricing Authority members are appointed with the agreement of the Prime Minister and states and territories.</w:t>
      </w:r>
    </w:p>
    <w:p w:rsidR="00ED4794" w:rsidRPr="00ED4794" w:rsidRDefault="00ED4794" w:rsidP="00ED4794">
      <w:pPr>
        <w:rPr>
          <w:lang w:val="en-GB"/>
        </w:rPr>
      </w:pPr>
      <w:r w:rsidRPr="00ED4794">
        <w:rPr>
          <w:lang w:val="en-GB"/>
        </w:rPr>
        <w:t>Members of the Pricing Authority bring significant expertise and skills to the role, including substantial experience and knowledge of the health care needs and the provision of health care for people living in regional and rural areas. The Pricing Authority is supported by a Chief Executive Officer, who is responsible for the day-to-day running of the organisation.</w:t>
      </w:r>
    </w:p>
    <w:p w:rsidR="00ED4794" w:rsidRPr="00ED4794" w:rsidRDefault="00ED4794" w:rsidP="00ED4794">
      <w:pPr>
        <w:rPr>
          <w:lang w:val="en-GB"/>
        </w:rPr>
      </w:pPr>
      <w:r w:rsidRPr="00ED4794">
        <w:rPr>
          <w:lang w:val="en-GB"/>
        </w:rPr>
        <w:t xml:space="preserve">The current Pricing Authority members were appointed in February 2012. </w:t>
      </w:r>
    </w:p>
    <w:p w:rsidR="00ED4794" w:rsidRPr="00ED4794" w:rsidRDefault="00ED4794" w:rsidP="00ED4794">
      <w:pPr>
        <w:pStyle w:val="Heading3"/>
        <w:rPr>
          <w:lang w:val="en-GB"/>
        </w:rPr>
      </w:pPr>
      <w:r w:rsidRPr="00ED4794">
        <w:rPr>
          <w:lang w:val="en-GB"/>
        </w:rPr>
        <w:t>Members of the Pricing Authority 2014–15</w:t>
      </w:r>
    </w:p>
    <w:p w:rsidR="00ED4794" w:rsidRPr="00ED4794" w:rsidRDefault="00ED4794" w:rsidP="00ED4794">
      <w:pPr>
        <w:pStyle w:val="ListBullet"/>
        <w:rPr>
          <w:lang w:val="en-GB"/>
        </w:rPr>
      </w:pPr>
      <w:r w:rsidRPr="00ED4794">
        <w:rPr>
          <w:lang w:val="en-GB"/>
        </w:rPr>
        <w:t xml:space="preserve">Mr Shane Solomon (Chair) </w:t>
      </w:r>
    </w:p>
    <w:p w:rsidR="00ED4794" w:rsidRPr="00ED4794" w:rsidRDefault="00ED4794" w:rsidP="00ED4794">
      <w:pPr>
        <w:pStyle w:val="ListBullet"/>
        <w:rPr>
          <w:lang w:val="en-GB"/>
        </w:rPr>
      </w:pPr>
      <w:r w:rsidRPr="00ED4794">
        <w:rPr>
          <w:lang w:val="en-GB"/>
        </w:rPr>
        <w:t>Mr Jim Birch, AM (Deputy Chair)</w:t>
      </w:r>
    </w:p>
    <w:p w:rsidR="00ED4794" w:rsidRPr="00ED4794" w:rsidRDefault="00ED4794" w:rsidP="00ED4794">
      <w:pPr>
        <w:pStyle w:val="ListBullet"/>
        <w:rPr>
          <w:lang w:val="en-GB"/>
        </w:rPr>
      </w:pPr>
      <w:r w:rsidRPr="00ED4794">
        <w:rPr>
          <w:lang w:val="en-GB"/>
        </w:rPr>
        <w:t>Mr Glenn Appleyard</w:t>
      </w:r>
    </w:p>
    <w:p w:rsidR="00ED4794" w:rsidRPr="00ED4794" w:rsidRDefault="00ED4794" w:rsidP="00ED4794">
      <w:pPr>
        <w:pStyle w:val="ListBullet"/>
        <w:rPr>
          <w:lang w:val="en-GB"/>
        </w:rPr>
      </w:pPr>
      <w:r w:rsidRPr="00ED4794">
        <w:rPr>
          <w:lang w:val="en-GB"/>
        </w:rPr>
        <w:t>Dr Michael Walsh</w:t>
      </w:r>
    </w:p>
    <w:p w:rsidR="00ED4794" w:rsidRPr="00ED4794" w:rsidRDefault="00ED4794" w:rsidP="00ED4794">
      <w:pPr>
        <w:pStyle w:val="ListBullet"/>
        <w:rPr>
          <w:lang w:val="en-GB"/>
        </w:rPr>
      </w:pPr>
      <w:r w:rsidRPr="00ED4794">
        <w:rPr>
          <w:lang w:val="en-GB"/>
        </w:rPr>
        <w:t>Mr Alan Bansemer</w:t>
      </w:r>
    </w:p>
    <w:p w:rsidR="00ED4794" w:rsidRPr="00ED4794" w:rsidRDefault="00ED4794" w:rsidP="00ED4794">
      <w:pPr>
        <w:pStyle w:val="ListBullet"/>
        <w:rPr>
          <w:lang w:val="en-GB"/>
        </w:rPr>
      </w:pPr>
      <w:r w:rsidRPr="00ED4794">
        <w:rPr>
          <w:lang w:val="en-GB"/>
        </w:rPr>
        <w:t>A/Prof. Bruce Chater, OAM</w:t>
      </w:r>
    </w:p>
    <w:p w:rsidR="00ED4794" w:rsidRPr="00ED4794" w:rsidRDefault="00ED4794" w:rsidP="00ED4794">
      <w:pPr>
        <w:pStyle w:val="ListBullet"/>
        <w:rPr>
          <w:lang w:val="en-GB"/>
        </w:rPr>
      </w:pPr>
      <w:r w:rsidRPr="00ED4794">
        <w:rPr>
          <w:lang w:val="en-GB"/>
        </w:rPr>
        <w:t>Mr Alan Morris</w:t>
      </w:r>
    </w:p>
    <w:p w:rsidR="00ED4794" w:rsidRPr="00ED4794" w:rsidRDefault="00ED4794" w:rsidP="00ED4794">
      <w:pPr>
        <w:pStyle w:val="ListBullet"/>
        <w:rPr>
          <w:lang w:val="en-GB"/>
        </w:rPr>
      </w:pPr>
      <w:r w:rsidRPr="00ED4794">
        <w:rPr>
          <w:lang w:val="en-GB"/>
        </w:rPr>
        <w:t>Prof. Jane Hall.</w:t>
      </w:r>
    </w:p>
    <w:p w:rsidR="00ED4794" w:rsidRPr="00ED4794" w:rsidRDefault="00ED4794" w:rsidP="00ED4794">
      <w:pPr>
        <w:rPr>
          <w:lang w:val="en-GB"/>
        </w:rPr>
      </w:pPr>
      <w:r w:rsidRPr="00ED4794">
        <w:rPr>
          <w:lang w:val="en-GB"/>
        </w:rPr>
        <w:t xml:space="preserve">The Pricing Authority met on 11 occasions between 1 July 2014 and 30 June 2015: </w:t>
      </w:r>
    </w:p>
    <w:p w:rsidR="00ED4794" w:rsidRPr="00ED4794" w:rsidRDefault="00ED4794" w:rsidP="00ED4794">
      <w:pPr>
        <w:pStyle w:val="ListBullet"/>
        <w:rPr>
          <w:lang w:val="en-GB"/>
        </w:rPr>
      </w:pPr>
      <w:r w:rsidRPr="00ED4794">
        <w:rPr>
          <w:lang w:val="en-GB"/>
        </w:rPr>
        <w:t>17 July 2014</w:t>
      </w:r>
    </w:p>
    <w:p w:rsidR="00ED4794" w:rsidRPr="00ED4794" w:rsidRDefault="00ED4794" w:rsidP="00ED4794">
      <w:pPr>
        <w:pStyle w:val="ListBullet"/>
        <w:rPr>
          <w:lang w:val="en-GB"/>
        </w:rPr>
      </w:pPr>
      <w:r w:rsidRPr="00ED4794">
        <w:rPr>
          <w:lang w:val="en-GB"/>
        </w:rPr>
        <w:t>22 August 2014</w:t>
      </w:r>
    </w:p>
    <w:p w:rsidR="00ED4794" w:rsidRPr="00ED4794" w:rsidRDefault="00ED4794" w:rsidP="00ED4794">
      <w:pPr>
        <w:pStyle w:val="ListBullet"/>
        <w:rPr>
          <w:lang w:val="en-GB"/>
        </w:rPr>
      </w:pPr>
      <w:r w:rsidRPr="00ED4794">
        <w:rPr>
          <w:lang w:val="en-GB"/>
        </w:rPr>
        <w:t>18 September 2014</w:t>
      </w:r>
    </w:p>
    <w:p w:rsidR="00ED4794" w:rsidRPr="00ED4794" w:rsidRDefault="00ED4794" w:rsidP="00ED4794">
      <w:pPr>
        <w:pStyle w:val="ListBullet"/>
        <w:rPr>
          <w:lang w:val="en-GB"/>
        </w:rPr>
      </w:pPr>
      <w:r w:rsidRPr="00ED4794">
        <w:rPr>
          <w:lang w:val="en-GB"/>
        </w:rPr>
        <w:t>30 October 2014</w:t>
      </w:r>
    </w:p>
    <w:p w:rsidR="00ED4794" w:rsidRPr="00ED4794" w:rsidRDefault="00ED4794" w:rsidP="00ED4794">
      <w:pPr>
        <w:pStyle w:val="ListBullet"/>
        <w:rPr>
          <w:lang w:val="en-GB"/>
        </w:rPr>
      </w:pPr>
      <w:r w:rsidRPr="00ED4794">
        <w:rPr>
          <w:lang w:val="en-GB"/>
        </w:rPr>
        <w:t>20 November 2014</w:t>
      </w:r>
    </w:p>
    <w:p w:rsidR="00ED4794" w:rsidRPr="00ED4794" w:rsidRDefault="00ED4794" w:rsidP="00ED4794">
      <w:pPr>
        <w:pStyle w:val="ListBullet"/>
        <w:rPr>
          <w:lang w:val="en-GB"/>
        </w:rPr>
      </w:pPr>
      <w:r w:rsidRPr="00ED4794">
        <w:rPr>
          <w:lang w:val="en-GB"/>
        </w:rPr>
        <w:t>19 February 2015</w:t>
      </w:r>
    </w:p>
    <w:p w:rsidR="00ED4794" w:rsidRPr="00ED4794" w:rsidRDefault="00ED4794" w:rsidP="00ED4794">
      <w:pPr>
        <w:pStyle w:val="ListBullet"/>
        <w:rPr>
          <w:lang w:val="en-GB"/>
        </w:rPr>
      </w:pPr>
      <w:r w:rsidRPr="00ED4794">
        <w:rPr>
          <w:lang w:val="en-GB"/>
        </w:rPr>
        <w:t>19 March 2015</w:t>
      </w:r>
    </w:p>
    <w:p w:rsidR="00ED4794" w:rsidRPr="00ED4794" w:rsidRDefault="00ED4794" w:rsidP="00ED4794">
      <w:pPr>
        <w:pStyle w:val="ListBullet"/>
        <w:rPr>
          <w:lang w:val="en-GB"/>
        </w:rPr>
      </w:pPr>
      <w:r w:rsidRPr="00ED4794">
        <w:rPr>
          <w:lang w:val="en-GB"/>
        </w:rPr>
        <w:t>23 April 2015</w:t>
      </w:r>
    </w:p>
    <w:p w:rsidR="00ED4794" w:rsidRPr="00ED4794" w:rsidRDefault="00ED4794" w:rsidP="00ED4794">
      <w:pPr>
        <w:pStyle w:val="ListBullet"/>
        <w:rPr>
          <w:lang w:val="en-GB"/>
        </w:rPr>
      </w:pPr>
      <w:r w:rsidRPr="00ED4794">
        <w:rPr>
          <w:lang w:val="en-GB"/>
        </w:rPr>
        <w:t>21 May 2015</w:t>
      </w:r>
    </w:p>
    <w:p w:rsidR="00ED4794" w:rsidRPr="00ED4794" w:rsidRDefault="00ED4794" w:rsidP="00ED4794">
      <w:pPr>
        <w:pStyle w:val="ListBullet"/>
        <w:rPr>
          <w:lang w:val="en-GB"/>
        </w:rPr>
      </w:pPr>
      <w:r w:rsidRPr="00ED4794">
        <w:rPr>
          <w:lang w:val="en-GB"/>
        </w:rPr>
        <w:t>18 June 2015</w:t>
      </w:r>
    </w:p>
    <w:p w:rsidR="00ED4794" w:rsidRPr="00ED4794" w:rsidRDefault="00ED4794" w:rsidP="00ED4794">
      <w:pPr>
        <w:pStyle w:val="ListBullet"/>
        <w:rPr>
          <w:lang w:val="en-GB"/>
        </w:rPr>
      </w:pPr>
      <w:r w:rsidRPr="00ED4794">
        <w:rPr>
          <w:lang w:val="en-GB"/>
        </w:rPr>
        <w:t>30 June 2015.</w:t>
      </w:r>
    </w:p>
    <w:p w:rsidR="00ED4794" w:rsidRDefault="00ED4794" w:rsidP="00ED4794">
      <w:pPr>
        <w:pStyle w:val="TableHeading"/>
      </w:pPr>
      <w:r>
        <w:br w:type="page"/>
      </w:r>
    </w:p>
    <w:p w:rsidR="00ED4794" w:rsidRDefault="00ED4794" w:rsidP="00ED4794">
      <w:pPr>
        <w:pStyle w:val="TableHeading"/>
      </w:pPr>
      <w:r w:rsidRPr="00ED4794">
        <w:lastRenderedPageBreak/>
        <w:t>Table 2: Pricing Authority meetings and attendances 2014–15</w:t>
      </w:r>
    </w:p>
    <w:tbl>
      <w:tblPr>
        <w:tblStyle w:val="DefaultTable"/>
        <w:tblW w:w="0" w:type="auto"/>
        <w:tblLayout w:type="fixed"/>
        <w:tblLook w:val="00A0" w:firstRow="1" w:lastRow="0" w:firstColumn="1" w:lastColumn="0" w:noHBand="0" w:noVBand="0"/>
        <w:tblDescription w:val="Pricing Authority meetings and attendances 2014–15"/>
      </w:tblPr>
      <w:tblGrid>
        <w:gridCol w:w="3686"/>
        <w:gridCol w:w="1985"/>
        <w:gridCol w:w="1986"/>
      </w:tblGrid>
      <w:tr w:rsidR="00ED4794" w:rsidRPr="00ED4794" w:rsidTr="00E47F5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Member</w:t>
            </w:r>
          </w:p>
        </w:tc>
        <w:tc>
          <w:tcPr>
            <w:tcW w:w="1985" w:type="dxa"/>
          </w:tcPr>
          <w:p w:rsidR="00ED4794" w:rsidRPr="00ED4794" w:rsidRDefault="00ED4794" w:rsidP="00E47F58">
            <w:pPr>
              <w:pStyle w:val="TableText"/>
              <w:jc w:val="center"/>
              <w:cnfStyle w:val="100000000000" w:firstRow="1" w:lastRow="0" w:firstColumn="0" w:lastColumn="0" w:oddVBand="0" w:evenVBand="0" w:oddHBand="0" w:evenHBand="0" w:firstRowFirstColumn="0" w:firstRowLastColumn="0" w:lastRowFirstColumn="0" w:lastRowLastColumn="0"/>
            </w:pPr>
            <w:r w:rsidRPr="00ED4794">
              <w:t>Meetings eligible</w:t>
            </w:r>
          </w:p>
        </w:tc>
        <w:tc>
          <w:tcPr>
            <w:tcW w:w="1986" w:type="dxa"/>
          </w:tcPr>
          <w:p w:rsidR="00ED4794" w:rsidRPr="00ED4794" w:rsidRDefault="00ED4794" w:rsidP="00E47F58">
            <w:pPr>
              <w:pStyle w:val="TableText"/>
              <w:jc w:val="center"/>
              <w:cnfStyle w:val="100000000000" w:firstRow="1" w:lastRow="0" w:firstColumn="0" w:lastColumn="0" w:oddVBand="0" w:evenVBand="0" w:oddHBand="0" w:evenHBand="0" w:firstRowFirstColumn="0" w:firstRowLastColumn="0" w:lastRowFirstColumn="0" w:lastRowLastColumn="0"/>
            </w:pPr>
            <w:r w:rsidRPr="00ED4794">
              <w:t>Meetings attended</w:t>
            </w:r>
          </w:p>
        </w:tc>
      </w:tr>
      <w:tr w:rsidR="00ED4794" w:rsidRPr="00ED4794" w:rsidTr="00E47F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Shane Solomon (Chair)</w:t>
            </w:r>
          </w:p>
        </w:tc>
        <w:tc>
          <w:tcPr>
            <w:tcW w:w="1985"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10</w:t>
            </w:r>
          </w:p>
        </w:tc>
      </w:tr>
      <w:tr w:rsidR="00ED4794" w:rsidRPr="00ED4794" w:rsidTr="00E47F58">
        <w:trPr>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Jim Birch (Deputy Chair)</w:t>
            </w:r>
          </w:p>
        </w:tc>
        <w:tc>
          <w:tcPr>
            <w:tcW w:w="1985"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7</w:t>
            </w:r>
          </w:p>
        </w:tc>
      </w:tr>
      <w:tr w:rsidR="00ED4794" w:rsidRPr="00ED4794" w:rsidTr="00E47F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Glenn Appleyard</w:t>
            </w:r>
          </w:p>
        </w:tc>
        <w:tc>
          <w:tcPr>
            <w:tcW w:w="1985"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11</w:t>
            </w:r>
          </w:p>
        </w:tc>
      </w:tr>
      <w:tr w:rsidR="00ED4794" w:rsidRPr="00ED4794" w:rsidTr="00E47F58">
        <w:trPr>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Alan Morris</w:t>
            </w:r>
          </w:p>
        </w:tc>
        <w:tc>
          <w:tcPr>
            <w:tcW w:w="1985"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8</w:t>
            </w:r>
          </w:p>
        </w:tc>
      </w:tr>
      <w:tr w:rsidR="00ED4794" w:rsidRPr="00ED4794" w:rsidTr="00E47F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Alan Bansemer</w:t>
            </w:r>
          </w:p>
        </w:tc>
        <w:tc>
          <w:tcPr>
            <w:tcW w:w="1985"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10</w:t>
            </w:r>
          </w:p>
        </w:tc>
      </w:tr>
      <w:tr w:rsidR="00ED4794" w:rsidRPr="00ED4794" w:rsidTr="00E47F58">
        <w:trPr>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A/Prof. Bruce Chater, OAM</w:t>
            </w:r>
          </w:p>
        </w:tc>
        <w:tc>
          <w:tcPr>
            <w:tcW w:w="1985"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11</w:t>
            </w:r>
          </w:p>
        </w:tc>
      </w:tr>
      <w:tr w:rsidR="00ED4794" w:rsidRPr="00ED4794" w:rsidTr="00E47F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Prof. Jane Hall</w:t>
            </w:r>
          </w:p>
        </w:tc>
        <w:tc>
          <w:tcPr>
            <w:tcW w:w="1985"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100000" w:firstRow="0" w:lastRow="0" w:firstColumn="0" w:lastColumn="0" w:oddVBand="0" w:evenVBand="0" w:oddHBand="1" w:evenHBand="0" w:firstRowFirstColumn="0" w:firstRowLastColumn="0" w:lastRowFirstColumn="0" w:lastRowLastColumn="0"/>
            </w:pPr>
            <w:r w:rsidRPr="00ED4794">
              <w:t>8</w:t>
            </w:r>
          </w:p>
        </w:tc>
      </w:tr>
      <w:tr w:rsidR="00ED4794" w:rsidRPr="00ED4794" w:rsidTr="00E47F58">
        <w:trPr>
          <w:trHeight w:val="340"/>
        </w:trPr>
        <w:tc>
          <w:tcPr>
            <w:cnfStyle w:val="001000000000" w:firstRow="0" w:lastRow="0" w:firstColumn="1" w:lastColumn="0" w:oddVBand="0" w:evenVBand="0" w:oddHBand="0" w:evenHBand="0" w:firstRowFirstColumn="0" w:firstRowLastColumn="0" w:lastRowFirstColumn="0" w:lastRowLastColumn="0"/>
            <w:tcW w:w="3686" w:type="dxa"/>
          </w:tcPr>
          <w:p w:rsidR="00ED4794" w:rsidRPr="00ED4794" w:rsidRDefault="00ED4794" w:rsidP="00ED4794">
            <w:pPr>
              <w:pStyle w:val="TableText"/>
            </w:pPr>
            <w:r w:rsidRPr="00ED4794">
              <w:t>Michael Walsh</w:t>
            </w:r>
          </w:p>
        </w:tc>
        <w:tc>
          <w:tcPr>
            <w:tcW w:w="1985"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11</w:t>
            </w:r>
          </w:p>
        </w:tc>
        <w:tc>
          <w:tcPr>
            <w:tcW w:w="1986" w:type="dxa"/>
          </w:tcPr>
          <w:p w:rsidR="00ED4794" w:rsidRPr="00ED4794" w:rsidRDefault="00ED4794" w:rsidP="00E47F58">
            <w:pPr>
              <w:pStyle w:val="TableText"/>
              <w:jc w:val="center"/>
              <w:cnfStyle w:val="000000000000" w:firstRow="0" w:lastRow="0" w:firstColumn="0" w:lastColumn="0" w:oddVBand="0" w:evenVBand="0" w:oddHBand="0" w:evenHBand="0" w:firstRowFirstColumn="0" w:firstRowLastColumn="0" w:lastRowFirstColumn="0" w:lastRowLastColumn="0"/>
            </w:pPr>
            <w:r w:rsidRPr="00ED4794">
              <w:t>10</w:t>
            </w:r>
          </w:p>
        </w:tc>
      </w:tr>
    </w:tbl>
    <w:p w:rsidR="00ED4794" w:rsidRDefault="00321D1E" w:rsidP="005B17D8">
      <w:pPr>
        <w:pStyle w:val="Heading3"/>
        <w:spacing w:before="720" w:after="240"/>
      </w:pPr>
      <w:r w:rsidRPr="00321D1E">
        <w:t>The Pricing Authority 2014–15</w:t>
      </w:r>
    </w:p>
    <w:p w:rsidR="00321D1E" w:rsidRDefault="00321D1E" w:rsidP="005B17D8">
      <w:r>
        <w:rPr>
          <w:noProof/>
        </w:rPr>
        <w:drawing>
          <wp:inline distT="0" distB="0" distL="0" distR="0" wp14:anchorId="03247FFD" wp14:editId="2A4EC6C2">
            <wp:extent cx="6059606" cy="4516398"/>
            <wp:effectExtent l="0" t="0" r="0" b="0"/>
            <wp:docPr id="27" name="Picture 27" descr="Photograph of the Pricing Authorit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8627" cy="4523121"/>
                    </a:xfrm>
                    <a:prstGeom prst="rect">
                      <a:avLst/>
                    </a:prstGeom>
                  </pic:spPr>
                </pic:pic>
              </a:graphicData>
            </a:graphic>
          </wp:inline>
        </w:drawing>
      </w:r>
    </w:p>
    <w:p w:rsidR="000C7A69" w:rsidRDefault="00321D1E" w:rsidP="00511016">
      <w:pPr>
        <w:pStyle w:val="SourceNotesText"/>
      </w:pPr>
      <w:r w:rsidRPr="00321D1E">
        <w:t xml:space="preserve">Back row, left to right: Mr Glenn Appleyard, Mr Jim Birch, AM (Deputy Chair), Dr Michael Walsh, Mr Alan Bansemer, Associate Professor Bruce Chater, OAM. </w:t>
      </w:r>
    </w:p>
    <w:p w:rsidR="00321D1E" w:rsidRDefault="00321D1E" w:rsidP="00511016">
      <w:pPr>
        <w:pStyle w:val="SourceNotesText"/>
      </w:pPr>
      <w:r w:rsidRPr="00321D1E">
        <w:t>Front row, left to right: Mr Alan Morris, Professor Jane Hall, Mr Shane Solomon (Chair).</w:t>
      </w:r>
    </w:p>
    <w:p w:rsidR="00F65F4C" w:rsidRDefault="00F65F4C" w:rsidP="00A361C7">
      <w:pPr>
        <w:pStyle w:val="Heading4"/>
        <w:rPr>
          <w:lang w:val="en-GB"/>
        </w:rPr>
      </w:pPr>
      <w:r>
        <w:rPr>
          <w:lang w:val="en-GB"/>
        </w:rPr>
        <w:br w:type="page"/>
      </w:r>
    </w:p>
    <w:p w:rsidR="00321D1E" w:rsidRPr="00321D1E" w:rsidRDefault="00321D1E" w:rsidP="00A361C7">
      <w:pPr>
        <w:pStyle w:val="Heading4"/>
        <w:rPr>
          <w:lang w:val="en-GB"/>
        </w:rPr>
      </w:pPr>
      <w:r w:rsidRPr="00321D1E">
        <w:rPr>
          <w:lang w:val="en-GB"/>
        </w:rPr>
        <w:lastRenderedPageBreak/>
        <w:t xml:space="preserve">Mr Shane </w:t>
      </w:r>
      <w:r w:rsidRPr="00A361C7">
        <w:t>Solomon</w:t>
      </w:r>
      <w:r w:rsidRPr="00321D1E">
        <w:rPr>
          <w:lang w:val="en-GB"/>
        </w:rPr>
        <w:t xml:space="preserve"> (Chair)</w:t>
      </w:r>
    </w:p>
    <w:p w:rsidR="00321D1E" w:rsidRPr="00321D1E" w:rsidRDefault="00321D1E" w:rsidP="00321D1E">
      <w:pPr>
        <w:rPr>
          <w:lang w:val="en-GB"/>
        </w:rPr>
      </w:pPr>
      <w:r w:rsidRPr="00321D1E">
        <w:rPr>
          <w:lang w:val="en-GB"/>
        </w:rPr>
        <w:t xml:space="preserve">Shane Solomon has over 30 years of international and national healthcare management expertise. In 2014, Shane was appointed as Head of Health for Telstra’s new Health Business Unit. </w:t>
      </w:r>
    </w:p>
    <w:p w:rsidR="00321D1E" w:rsidRPr="00321D1E" w:rsidRDefault="00321D1E" w:rsidP="00321D1E">
      <w:pPr>
        <w:rPr>
          <w:lang w:val="en-GB"/>
        </w:rPr>
      </w:pPr>
      <w:r w:rsidRPr="00321D1E">
        <w:rPr>
          <w:lang w:val="en-GB"/>
        </w:rPr>
        <w:t xml:space="preserve">Prior to joining Telstra, Shane was KPMG’s Partner in Charge, Healthcare. In this role, he worked with state and Australian Governments, along with private sector health organisations. </w:t>
      </w:r>
    </w:p>
    <w:p w:rsidR="00321D1E" w:rsidRPr="00321D1E" w:rsidRDefault="00321D1E" w:rsidP="00321D1E">
      <w:pPr>
        <w:rPr>
          <w:lang w:val="en-GB"/>
        </w:rPr>
      </w:pPr>
      <w:r w:rsidRPr="00321D1E">
        <w:rPr>
          <w:lang w:val="en-GB"/>
        </w:rPr>
        <w:t>Shane was the Chief Executive of the Hong Kong Hospital Authority, managing Hong Kong’s 57,000 public hospital staff. During his five-year tenure, he implemented significant funding and service quality reforms, including a casemix pay for performance model and the ongoing development of a comprehensive integrated e-health system.</w:t>
      </w:r>
    </w:p>
    <w:p w:rsidR="00321D1E" w:rsidRPr="00321D1E" w:rsidRDefault="00321D1E" w:rsidP="00321D1E">
      <w:pPr>
        <w:rPr>
          <w:lang w:val="en-GB"/>
        </w:rPr>
      </w:pPr>
      <w:r w:rsidRPr="00321D1E">
        <w:rPr>
          <w:lang w:val="en-GB"/>
        </w:rPr>
        <w:t>In Victoria, Shane was Under-Secretary of Health at the Department of Human Services (as it then was) where he was responsible for managing the funding system (including casemix) for Victoria, and performance and governance of Melbourne metropolitan health services. He was responsible for developing the Hospital Admission Risk Program and governance reforms to Victoria’s public hospital system.</w:t>
      </w:r>
    </w:p>
    <w:p w:rsidR="00321D1E" w:rsidRPr="00321D1E" w:rsidRDefault="00321D1E" w:rsidP="00321D1E">
      <w:pPr>
        <w:rPr>
          <w:lang w:val="en-GB"/>
        </w:rPr>
      </w:pPr>
      <w:r w:rsidRPr="00321D1E">
        <w:rPr>
          <w:lang w:val="en-GB"/>
        </w:rPr>
        <w:t>Shane was the first Group Chief Executive Officer of the integrated Sisters of Mercy Victorian hospital and aged care services group, merging public hospitals, private hospitals, aged care services, and palliative care services into a single new organisation and expanding the Sisters of Mercy mission from five entities to 12.</w:t>
      </w:r>
    </w:p>
    <w:p w:rsidR="00321D1E" w:rsidRPr="00321D1E" w:rsidRDefault="00321D1E" w:rsidP="00321D1E">
      <w:pPr>
        <w:pStyle w:val="Heading4"/>
        <w:rPr>
          <w:lang w:val="en-GB"/>
        </w:rPr>
      </w:pPr>
      <w:r w:rsidRPr="00321D1E">
        <w:rPr>
          <w:lang w:val="en-GB"/>
        </w:rPr>
        <w:t>Mr Jim Birch, AM (Deputy Chair)</w:t>
      </w:r>
    </w:p>
    <w:p w:rsidR="00321D1E" w:rsidRPr="00321D1E" w:rsidRDefault="00321D1E" w:rsidP="00321D1E">
      <w:pPr>
        <w:rPr>
          <w:lang w:val="en-GB"/>
        </w:rPr>
      </w:pPr>
      <w:r w:rsidRPr="00321D1E">
        <w:rPr>
          <w:lang w:val="en-GB"/>
        </w:rPr>
        <w:t>Jim Birch lives in Adelaide, South Australia and is a board member of HealthDirect Australia, Cancer SA Board and Mary MacKillop Care SA.</w:t>
      </w:r>
    </w:p>
    <w:p w:rsidR="00321D1E" w:rsidRPr="00321D1E" w:rsidRDefault="00321D1E" w:rsidP="00321D1E">
      <w:pPr>
        <w:rPr>
          <w:lang w:val="en-GB"/>
        </w:rPr>
      </w:pPr>
      <w:r w:rsidRPr="00321D1E">
        <w:rPr>
          <w:lang w:val="en-GB"/>
        </w:rPr>
        <w:t>Jim is Lead Partner, Health and Human Services, Asia Pacific and Government and Public Sector Lead Partner, Oceania at Ernst and Young and was previously Chief Executive of the Human Services and Health Department in South Australia.</w:t>
      </w:r>
    </w:p>
    <w:p w:rsidR="00321D1E" w:rsidRPr="00321D1E" w:rsidRDefault="00321D1E" w:rsidP="00321D1E">
      <w:pPr>
        <w:pStyle w:val="Heading4"/>
        <w:rPr>
          <w:lang w:val="en-GB"/>
        </w:rPr>
      </w:pPr>
      <w:r w:rsidRPr="00321D1E">
        <w:rPr>
          <w:lang w:val="en-GB"/>
        </w:rPr>
        <w:t>Mr Glenn Appleyard</w:t>
      </w:r>
    </w:p>
    <w:p w:rsidR="00321D1E" w:rsidRPr="00321D1E" w:rsidRDefault="00321D1E" w:rsidP="00321D1E">
      <w:pPr>
        <w:rPr>
          <w:lang w:val="en-GB"/>
        </w:rPr>
      </w:pPr>
      <w:r w:rsidRPr="00321D1E">
        <w:rPr>
          <w:lang w:val="en-GB"/>
        </w:rPr>
        <w:t>Glenn Appleyard was a member of the Australian Accounting Standards Board from 1 January 2003 to 31 December 2011.</w:t>
      </w:r>
    </w:p>
    <w:p w:rsidR="00321D1E" w:rsidRPr="00321D1E" w:rsidRDefault="00321D1E" w:rsidP="00321D1E">
      <w:pPr>
        <w:rPr>
          <w:lang w:val="en-GB"/>
        </w:rPr>
      </w:pPr>
      <w:r w:rsidRPr="00321D1E">
        <w:rPr>
          <w:lang w:val="en-GB"/>
        </w:rPr>
        <w:t>Glenn has held several senior positions within the public service including: Deputy Secretary in the Tasmanian and Victorian Departments of Treasury and Finance, Regional Director for the Australian Bureau of Statistics in Tasmania, and General Manager of the Food, Agriculture and Fisheries Division of the Tasmanian Department of Primary Industries, Water and Environment.</w:t>
      </w:r>
    </w:p>
    <w:p w:rsidR="00321D1E" w:rsidRPr="00321D1E" w:rsidRDefault="00321D1E" w:rsidP="00321D1E">
      <w:pPr>
        <w:rPr>
          <w:lang w:val="en-GB"/>
        </w:rPr>
      </w:pPr>
      <w:r w:rsidRPr="00321D1E">
        <w:rPr>
          <w:lang w:val="en-GB"/>
        </w:rPr>
        <w:t>Glenn has an active interest in public finance issues, particularly Australian Government and state government financial relations. He is a member of the Commonwealth Grants Commission. He is also currently the Chair of the Tasmanian Economic Regulator.</w:t>
      </w:r>
    </w:p>
    <w:p w:rsidR="00321D1E" w:rsidRPr="00321D1E" w:rsidRDefault="00321D1E" w:rsidP="00321D1E">
      <w:pPr>
        <w:pStyle w:val="Heading4"/>
        <w:rPr>
          <w:lang w:val="en-GB"/>
        </w:rPr>
      </w:pPr>
      <w:r w:rsidRPr="00321D1E">
        <w:rPr>
          <w:lang w:val="en-GB"/>
        </w:rPr>
        <w:lastRenderedPageBreak/>
        <w:t>Mr Alan Bansemer</w:t>
      </w:r>
    </w:p>
    <w:p w:rsidR="00321D1E" w:rsidRPr="00321D1E" w:rsidRDefault="00321D1E" w:rsidP="00321D1E">
      <w:pPr>
        <w:rPr>
          <w:lang w:val="en-GB"/>
        </w:rPr>
      </w:pPr>
      <w:r w:rsidRPr="00321D1E">
        <w:rPr>
          <w:lang w:val="en-GB"/>
        </w:rPr>
        <w:t>Alan Bansemer has over 35 years’ experience in the health sector, including six years as the West Australian Health Commissioner and eight years as the Deputy Secretary to the Australian Government Department of Human Services and Health (as it then was). He currently runs his own private consultancy group, Banscott Health Consulting Pty Ltd, providing strategic advice to health departments throughout Australia.</w:t>
      </w:r>
    </w:p>
    <w:p w:rsidR="00321D1E" w:rsidRPr="00321D1E" w:rsidRDefault="00321D1E" w:rsidP="00321D1E">
      <w:pPr>
        <w:rPr>
          <w:lang w:val="en-GB"/>
        </w:rPr>
      </w:pPr>
      <w:r w:rsidRPr="00321D1E">
        <w:rPr>
          <w:lang w:val="en-GB"/>
        </w:rPr>
        <w:t>Alan has chaired a number of committees including the Medicare Schedule Review Board and General Practice Consultative Committee. In addition, he has served as a member of numerous health advisory committees including the Australian Health Ministers’ Advisory Council, Health Insurance Commission (now Medicare Australia) and the Australian Institute of Health and Welfare.</w:t>
      </w:r>
    </w:p>
    <w:p w:rsidR="00321D1E" w:rsidRPr="00321D1E" w:rsidRDefault="00321D1E" w:rsidP="00321D1E">
      <w:pPr>
        <w:pStyle w:val="Heading4"/>
        <w:rPr>
          <w:lang w:val="en-GB"/>
        </w:rPr>
      </w:pPr>
      <w:r w:rsidRPr="00321D1E">
        <w:rPr>
          <w:lang w:val="en-GB"/>
        </w:rPr>
        <w:t>Associate Professor Bruce Chater, OAM</w:t>
      </w:r>
    </w:p>
    <w:p w:rsidR="00321D1E" w:rsidRPr="00321D1E" w:rsidRDefault="00321D1E" w:rsidP="00321D1E">
      <w:pPr>
        <w:rPr>
          <w:lang w:val="en-GB"/>
        </w:rPr>
      </w:pPr>
      <w:r w:rsidRPr="00321D1E">
        <w:rPr>
          <w:lang w:val="en-GB"/>
        </w:rPr>
        <w:t xml:space="preserve">Associate Professor Bruce Chater is Head of the Academic Discipline of Rural and Remote Medicine and Deputy Chair of the Rural Clinical School Management Committee at the University of Queensland—tasks he performs from his rural base of Theodore, Queensland where he continues as a practicing rural doctor. </w:t>
      </w:r>
    </w:p>
    <w:p w:rsidR="00321D1E" w:rsidRPr="00321D1E" w:rsidRDefault="00321D1E" w:rsidP="00321D1E">
      <w:pPr>
        <w:rPr>
          <w:lang w:val="en-GB"/>
        </w:rPr>
      </w:pPr>
      <w:r w:rsidRPr="00321D1E">
        <w:rPr>
          <w:lang w:val="en-GB"/>
        </w:rPr>
        <w:t>Bruce has been very involved both professionally and politically with the rural doctors’ movement. He was the founding convener of the Rural Doctors’ Association of Queensland and Australia and served as President of the Australian College of Rural and Remote Medicine.</w:t>
      </w:r>
    </w:p>
    <w:p w:rsidR="00321D1E" w:rsidRPr="00321D1E" w:rsidRDefault="00321D1E" w:rsidP="00321D1E">
      <w:pPr>
        <w:pStyle w:val="Heading4"/>
        <w:rPr>
          <w:lang w:val="en-GB"/>
        </w:rPr>
      </w:pPr>
      <w:r w:rsidRPr="00321D1E">
        <w:rPr>
          <w:lang w:val="en-GB"/>
        </w:rPr>
        <w:t>Professor Jane Hall</w:t>
      </w:r>
    </w:p>
    <w:p w:rsidR="00321D1E" w:rsidRPr="00321D1E" w:rsidRDefault="00321D1E" w:rsidP="00321D1E">
      <w:pPr>
        <w:rPr>
          <w:lang w:val="en-GB"/>
        </w:rPr>
      </w:pPr>
      <w:r w:rsidRPr="00321D1E">
        <w:rPr>
          <w:lang w:val="en-GB"/>
        </w:rPr>
        <w:t>Professor Jane Hall is the founding Director of the Centre for Health Economics Research and Evaluation and Professor of Health Economics in the Faculty of Business at the University of Technology, Sydney. Jane is a Fellow of the Academy of Social Sciences in Australia.</w:t>
      </w:r>
    </w:p>
    <w:p w:rsidR="00321D1E" w:rsidRPr="00321D1E" w:rsidRDefault="00321D1E" w:rsidP="00321D1E">
      <w:pPr>
        <w:rPr>
          <w:lang w:val="en-GB"/>
        </w:rPr>
      </w:pPr>
      <w:r w:rsidRPr="00321D1E">
        <w:rPr>
          <w:lang w:val="en-GB"/>
        </w:rPr>
        <w:t>She has held many advisory and board positions, and is currently a member of the board of the Bureau of Health Information. She is actively involved in policy analysis and critique, and is a regular commentator on health funding and organisational issues in Australia.</w:t>
      </w:r>
    </w:p>
    <w:p w:rsidR="00321D1E" w:rsidRPr="00321D1E" w:rsidRDefault="00321D1E" w:rsidP="00321D1E">
      <w:pPr>
        <w:pStyle w:val="Heading4"/>
        <w:rPr>
          <w:lang w:val="en-GB"/>
        </w:rPr>
      </w:pPr>
      <w:r w:rsidRPr="00321D1E">
        <w:rPr>
          <w:lang w:val="en-GB"/>
        </w:rPr>
        <w:t>Mr Alan Morris</w:t>
      </w:r>
    </w:p>
    <w:p w:rsidR="00321D1E" w:rsidRPr="00321D1E" w:rsidRDefault="00321D1E" w:rsidP="00321D1E">
      <w:pPr>
        <w:rPr>
          <w:lang w:val="en-GB"/>
        </w:rPr>
      </w:pPr>
      <w:r w:rsidRPr="00321D1E">
        <w:rPr>
          <w:lang w:val="en-GB"/>
        </w:rPr>
        <w:t>Alan Morris is the former Chair of the Commonwealth Grants Commission and also undertakes consulting and advisory work for AusAID and the World Bank.</w:t>
      </w:r>
    </w:p>
    <w:p w:rsidR="00321D1E" w:rsidRPr="00321D1E" w:rsidRDefault="00321D1E" w:rsidP="00321D1E">
      <w:pPr>
        <w:rPr>
          <w:lang w:val="en-GB"/>
        </w:rPr>
      </w:pPr>
      <w:r w:rsidRPr="00321D1E">
        <w:rPr>
          <w:lang w:val="en-GB"/>
        </w:rPr>
        <w:t>His prior appointments have included: Executive Director for Australia, Korea, New Zealand and Egypt at the European Bank for Reconstruction and Development, London; Secretary, Department of Premier and Cabinet, Tasmania; Secretary (Chief Executive Officer) and Secretary to Cabinet, Department of the Chief Minister, Northern Territory of Australia; Assistant to Executive Director, International Monetary Fund, Washington DC; Chief Financial Officer, International Finance Section, Australian Treasury; and First Assistant Secretary, Department of Finance, Papua New Guinea.</w:t>
      </w:r>
    </w:p>
    <w:p w:rsidR="00321D1E" w:rsidRPr="00321D1E" w:rsidRDefault="00321D1E" w:rsidP="00321D1E">
      <w:pPr>
        <w:pStyle w:val="Heading4"/>
        <w:rPr>
          <w:lang w:val="en-GB"/>
        </w:rPr>
      </w:pPr>
      <w:r w:rsidRPr="00321D1E">
        <w:rPr>
          <w:lang w:val="en-GB"/>
        </w:rPr>
        <w:lastRenderedPageBreak/>
        <w:t>Dr Michael Walsh</w:t>
      </w:r>
    </w:p>
    <w:p w:rsidR="00321D1E" w:rsidRPr="00321D1E" w:rsidRDefault="00321D1E" w:rsidP="00321D1E">
      <w:pPr>
        <w:rPr>
          <w:lang w:val="en-GB"/>
        </w:rPr>
      </w:pPr>
      <w:r w:rsidRPr="00321D1E">
        <w:rPr>
          <w:lang w:val="en-GB"/>
        </w:rPr>
        <w:t>Michael is Chief Executive of Cabrini Health, a private not for profit Catholic health service in Melbourne, Australia. He was recruited from Doha, Qatar where he was Chief Executive of the National Health Authority. Prior to this he worked in London, England as Chief Executive, South East London Strategic Health Authority. Michael has held a range of senior hospital and health department positions in Victoria and Western Australia. He is Vice President of the Royal Australasian College of Medical Administration, a Fellow of Australasian College of Health Service Management. Michael has over 25 years’ experience in health service policy and management in both public and private sectors.</w:t>
      </w:r>
    </w:p>
    <w:p w:rsidR="00321D1E" w:rsidRDefault="001F56C7" w:rsidP="00F65F4C">
      <w:pPr>
        <w:pStyle w:val="Heading2"/>
        <w:spacing w:before="880" w:after="360"/>
      </w:pPr>
      <w:r w:rsidRPr="001F56C7">
        <w:t xml:space="preserve">IHPA committees and </w:t>
      </w:r>
      <w:r>
        <w:br/>
      </w:r>
      <w:r w:rsidRPr="001F56C7">
        <w:t>working groups</w:t>
      </w:r>
    </w:p>
    <w:p w:rsidR="001F56C7" w:rsidRPr="001F56C7" w:rsidRDefault="001F56C7" w:rsidP="001F56C7">
      <w:pPr>
        <w:pStyle w:val="Heading3"/>
        <w:rPr>
          <w:lang w:val="en-GB"/>
        </w:rPr>
      </w:pPr>
      <w:r w:rsidRPr="001F56C7">
        <w:rPr>
          <w:lang w:val="en-GB"/>
        </w:rPr>
        <w:t>Overview</w:t>
      </w:r>
    </w:p>
    <w:p w:rsidR="001F56C7" w:rsidRPr="001F56C7" w:rsidRDefault="001F56C7" w:rsidP="001F56C7">
      <w:pPr>
        <w:rPr>
          <w:lang w:val="en-GB"/>
        </w:rPr>
      </w:pPr>
      <w:r w:rsidRPr="001F56C7">
        <w:rPr>
          <w:lang w:val="en-GB"/>
        </w:rPr>
        <w:t>IHPA has developed a committee framework to assist in providing expert advice and to ensure the transparency and integrity of the organisation.</w:t>
      </w:r>
    </w:p>
    <w:p w:rsidR="001F56C7" w:rsidRPr="001F56C7" w:rsidRDefault="001F56C7" w:rsidP="001F56C7">
      <w:pPr>
        <w:rPr>
          <w:lang w:val="en-GB"/>
        </w:rPr>
      </w:pPr>
      <w:r w:rsidRPr="001F56C7">
        <w:rPr>
          <w:lang w:val="en-GB"/>
        </w:rPr>
        <w:t xml:space="preserve">IHPA’s statutory committees comprise the Clinical Advisory Committee (CAC) and the Jurisdictional Advisory Committee (JAC) which have been established pursuant to part 4.10 and 4.11 of the </w:t>
      </w:r>
      <w:r w:rsidRPr="001F56C7">
        <w:rPr>
          <w:i/>
          <w:iCs/>
          <w:lang w:val="en-GB"/>
        </w:rPr>
        <w:t>National Health Reform Act 2011</w:t>
      </w:r>
      <w:r w:rsidRPr="001F56C7">
        <w:rPr>
          <w:lang w:val="en-GB"/>
        </w:rPr>
        <w:t xml:space="preserve"> to assist IHPA in performing its functions.</w:t>
      </w:r>
    </w:p>
    <w:p w:rsidR="001F56C7" w:rsidRPr="001F56C7" w:rsidRDefault="001F56C7" w:rsidP="001F56C7">
      <w:pPr>
        <w:rPr>
          <w:lang w:val="en-GB"/>
        </w:rPr>
      </w:pPr>
      <w:r w:rsidRPr="001F56C7">
        <w:rPr>
          <w:lang w:val="en-GB"/>
        </w:rPr>
        <w:t xml:space="preserve">Other advisory committees and working groups have been established to assist IHPA in delivery of its Work Program, pursuant to part 4.12 of the </w:t>
      </w:r>
      <w:r w:rsidRPr="001F56C7">
        <w:rPr>
          <w:i/>
          <w:iCs/>
          <w:lang w:val="en-GB"/>
        </w:rPr>
        <w:t>National Health Reform Act 2011</w:t>
      </w:r>
      <w:r w:rsidRPr="001F56C7">
        <w:rPr>
          <w:lang w:val="en-GB"/>
        </w:rPr>
        <w:t xml:space="preserve"> including:</w:t>
      </w:r>
    </w:p>
    <w:p w:rsidR="001F56C7" w:rsidRPr="001F56C7" w:rsidRDefault="001F56C7" w:rsidP="001F56C7">
      <w:pPr>
        <w:pStyle w:val="ListBullet"/>
        <w:rPr>
          <w:lang w:val="en-GB"/>
        </w:rPr>
      </w:pPr>
      <w:r w:rsidRPr="001F56C7">
        <w:rPr>
          <w:lang w:val="en-GB"/>
        </w:rPr>
        <w:t>Stakeholder Advisory Committee</w:t>
      </w:r>
    </w:p>
    <w:p w:rsidR="001F56C7" w:rsidRPr="001F56C7" w:rsidRDefault="001F56C7" w:rsidP="001F56C7">
      <w:pPr>
        <w:pStyle w:val="ListBullet"/>
        <w:rPr>
          <w:lang w:val="en-GB"/>
        </w:rPr>
      </w:pPr>
      <w:r w:rsidRPr="001F56C7">
        <w:rPr>
          <w:lang w:val="en-GB"/>
        </w:rPr>
        <w:t>Technical Advisory Committee</w:t>
      </w:r>
    </w:p>
    <w:p w:rsidR="001F56C7" w:rsidRPr="001F56C7" w:rsidRDefault="001F56C7" w:rsidP="001F56C7">
      <w:pPr>
        <w:pStyle w:val="ListBullet"/>
        <w:rPr>
          <w:lang w:val="en-GB"/>
        </w:rPr>
      </w:pPr>
      <w:r w:rsidRPr="001F56C7">
        <w:rPr>
          <w:lang w:val="en-GB"/>
        </w:rPr>
        <w:t>Teaching, Training and Research Working Group</w:t>
      </w:r>
    </w:p>
    <w:p w:rsidR="001F56C7" w:rsidRPr="001F56C7" w:rsidRDefault="001F56C7" w:rsidP="001F56C7">
      <w:pPr>
        <w:pStyle w:val="ListBullet"/>
        <w:rPr>
          <w:lang w:val="en-GB"/>
        </w:rPr>
      </w:pPr>
      <w:r w:rsidRPr="001F56C7">
        <w:rPr>
          <w:lang w:val="en-GB"/>
        </w:rPr>
        <w:t>Small Rural Hospitals Working Group</w:t>
      </w:r>
    </w:p>
    <w:p w:rsidR="001F56C7" w:rsidRPr="001F56C7" w:rsidRDefault="001F56C7" w:rsidP="001F56C7">
      <w:pPr>
        <w:pStyle w:val="ListBullet"/>
        <w:rPr>
          <w:lang w:val="en-GB"/>
        </w:rPr>
      </w:pPr>
      <w:r w:rsidRPr="001F56C7">
        <w:rPr>
          <w:lang w:val="en-GB"/>
        </w:rPr>
        <w:t>Non-admitted Care Advisory Working Group</w:t>
      </w:r>
    </w:p>
    <w:p w:rsidR="001F56C7" w:rsidRPr="001F56C7" w:rsidRDefault="001F56C7" w:rsidP="001F56C7">
      <w:pPr>
        <w:pStyle w:val="ListBullet"/>
        <w:rPr>
          <w:lang w:val="en-GB"/>
        </w:rPr>
      </w:pPr>
      <w:r w:rsidRPr="001F56C7">
        <w:rPr>
          <w:lang w:val="en-GB"/>
        </w:rPr>
        <w:t>Subacute Care Working Group</w:t>
      </w:r>
    </w:p>
    <w:p w:rsidR="001F56C7" w:rsidRPr="001F56C7" w:rsidRDefault="001F56C7" w:rsidP="001F56C7">
      <w:pPr>
        <w:pStyle w:val="ListBullet"/>
        <w:rPr>
          <w:lang w:val="en-GB"/>
        </w:rPr>
      </w:pPr>
      <w:r w:rsidRPr="001F56C7">
        <w:rPr>
          <w:lang w:val="en-GB"/>
        </w:rPr>
        <w:t>Mental Health Working Group</w:t>
      </w:r>
    </w:p>
    <w:p w:rsidR="001F56C7" w:rsidRPr="001F56C7" w:rsidRDefault="001F56C7" w:rsidP="001F56C7">
      <w:pPr>
        <w:pStyle w:val="ListBullet"/>
        <w:rPr>
          <w:lang w:val="en-GB"/>
        </w:rPr>
      </w:pPr>
      <w:r w:rsidRPr="001F56C7">
        <w:rPr>
          <w:lang w:val="en-GB"/>
        </w:rPr>
        <w:t>Emergency Care Advisory Working Group</w:t>
      </w:r>
    </w:p>
    <w:p w:rsidR="001F56C7" w:rsidRPr="001F56C7" w:rsidRDefault="001F56C7" w:rsidP="001F56C7">
      <w:pPr>
        <w:pStyle w:val="ListBullet"/>
        <w:rPr>
          <w:lang w:val="en-GB"/>
        </w:rPr>
      </w:pPr>
      <w:r w:rsidRPr="001F56C7">
        <w:rPr>
          <w:lang w:val="en-GB"/>
        </w:rPr>
        <w:t>ABF Evaluation Steering Committee</w:t>
      </w:r>
    </w:p>
    <w:p w:rsidR="001F56C7" w:rsidRPr="001F56C7" w:rsidRDefault="001F56C7" w:rsidP="001F56C7">
      <w:pPr>
        <w:pStyle w:val="ListBullet"/>
        <w:rPr>
          <w:lang w:val="en-GB"/>
        </w:rPr>
      </w:pPr>
      <w:r w:rsidRPr="001F56C7">
        <w:rPr>
          <w:lang w:val="en-GB"/>
        </w:rPr>
        <w:t>National Hospital Cost Data Collection (NHCDC) Advisory Committee.</w:t>
      </w:r>
    </w:p>
    <w:p w:rsidR="001F56C7" w:rsidRPr="001F56C7" w:rsidRDefault="001F56C7" w:rsidP="001F56C7">
      <w:pPr>
        <w:rPr>
          <w:lang w:val="en-GB"/>
        </w:rPr>
      </w:pPr>
      <w:r w:rsidRPr="001F56C7">
        <w:rPr>
          <w:lang w:val="en-GB"/>
        </w:rPr>
        <w:t>Figure 2 depicts the alignment between IHPA’s management, committees and working groups. Working groups and committees are structured to enhance IHPA’s statutory functions. Some committees and working groups may also have sub-committees to assist in the delivery of IHPA’s work program. All committees and working groups have a Terms of Reference (ToR) setting out their role, function, delegated power, membership and reporting relationship.</w:t>
      </w:r>
    </w:p>
    <w:p w:rsidR="00FE3EFA" w:rsidRDefault="00FE3EFA" w:rsidP="00321D1E">
      <w:r>
        <w:br w:type="page"/>
      </w:r>
    </w:p>
    <w:p w:rsidR="001F56C7" w:rsidRDefault="00FE3EFA" w:rsidP="00FE3EFA">
      <w:pPr>
        <w:pStyle w:val="FigureHeading"/>
      </w:pPr>
      <w:r w:rsidRPr="00FE3EFA">
        <w:lastRenderedPageBreak/>
        <w:t>Figure 2: IHPA’s management, committees and working groups</w:t>
      </w:r>
    </w:p>
    <w:p w:rsidR="00FE3EFA" w:rsidRDefault="00FE3EFA" w:rsidP="00321D1E">
      <w:r>
        <w:rPr>
          <w:noProof/>
        </w:rPr>
        <w:drawing>
          <wp:inline distT="0" distB="0" distL="0" distR="0" wp14:anchorId="2B2BBCA6" wp14:editId="47F0F150">
            <wp:extent cx="6196083" cy="5872232"/>
            <wp:effectExtent l="0" t="0" r="0" b="0"/>
            <wp:docPr id="28" name="Picture 28" descr="Figure two is entitled IHPA’s management, committees and working groups.&#10;First tier: Minister for Health&#10;Off first tier: Clinical Advisory Committee (statutory committee) &#10;Second tier: Pricing Authority&#10;Third tier: IHPA Chief Executive &#10;Fourth tier: IHPA Executive Committee (management committee) &#10;Fifth tier: Audit Risk &amp; Compliance Committee (management committee), Workplace Health &amp; Safety Committee (management committee), Jurisdictional Advisory Committee (statutory committee), NHCDC Advisory Committee (advisory committee) and Stakeholder Advisory Committee (advisory committee).&#10;Sixth tier (below Audit Risk &amp; Compliance Committee): Finance Committee (management committee) and Compliance Working Group (management committee).&#10;Sixth tier (below Jurisdictional Advisory Committee): ABF Technical Advisory Committee (advisory committee)&#10;Seventh tier (below Jurisdictional Advisory Committee and ABF Technical Advisory Committee): Teaching, Training and Research Working Group (Technical Working Group), Small Rural Hospitals Working Group (Technical Working Group), Non-Admitted Care Advisory Working Group (Technical Working Group), Subacute Care Working Group (Technical Working Group), Mental Health Care Working Group (Technical Working Group) and Emergency Care Advisory Working Group (Technical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7425" cy="5873503"/>
                    </a:xfrm>
                    <a:prstGeom prst="rect">
                      <a:avLst/>
                    </a:prstGeom>
                  </pic:spPr>
                </pic:pic>
              </a:graphicData>
            </a:graphic>
          </wp:inline>
        </w:drawing>
      </w:r>
      <w:r>
        <w:br w:type="page"/>
      </w:r>
    </w:p>
    <w:p w:rsidR="00FE3EFA" w:rsidRPr="00FE3EFA" w:rsidRDefault="00FE3EFA" w:rsidP="00FE3EFA">
      <w:pPr>
        <w:pStyle w:val="Heading3"/>
        <w:rPr>
          <w:lang w:val="en-GB"/>
        </w:rPr>
      </w:pPr>
      <w:r w:rsidRPr="00FE3EFA">
        <w:rPr>
          <w:lang w:val="en-GB"/>
        </w:rPr>
        <w:lastRenderedPageBreak/>
        <w:t>Clinical Advisory Committee</w:t>
      </w:r>
    </w:p>
    <w:p w:rsidR="00FE3EFA" w:rsidRPr="00FE3EFA" w:rsidRDefault="00FE3EFA" w:rsidP="00FE3EFA">
      <w:pPr>
        <w:rPr>
          <w:lang w:val="en-GB"/>
        </w:rPr>
      </w:pPr>
      <w:r w:rsidRPr="00FE3EFA">
        <w:rPr>
          <w:lang w:val="en-GB"/>
        </w:rPr>
        <w:t xml:space="preserve">The Clinical Advisory Committee (CAC) is responsible for providing advice to the Australian Government Minister for Health and IHPA with respect to clinical matters and reports directly to the Minister. </w:t>
      </w:r>
    </w:p>
    <w:p w:rsidR="00FE3EFA" w:rsidRPr="00FE3EFA" w:rsidRDefault="00FE3EFA" w:rsidP="00FE3EFA">
      <w:pPr>
        <w:rPr>
          <w:lang w:val="en-GB"/>
        </w:rPr>
      </w:pPr>
      <w:r w:rsidRPr="00FE3EFA">
        <w:rPr>
          <w:lang w:val="en-GB"/>
        </w:rPr>
        <w:t xml:space="preserve">The CAC was appointed by the Australian Government Minister for Health in June 2012, with two further appointments made in 2014–15. At 30 June 2015, the CAC consisted of 27 members. </w:t>
      </w:r>
    </w:p>
    <w:p w:rsidR="00FE3EFA" w:rsidRPr="00FE3EFA" w:rsidRDefault="00FE3EFA" w:rsidP="00FE3EFA">
      <w:pPr>
        <w:rPr>
          <w:lang w:val="en-GB"/>
        </w:rPr>
      </w:pPr>
      <w:r w:rsidRPr="00FE3EFA">
        <w:rPr>
          <w:lang w:val="en-GB"/>
        </w:rPr>
        <w:t xml:space="preserve">As specified in s. 193 of the </w:t>
      </w:r>
      <w:r w:rsidRPr="00FE3EFA">
        <w:rPr>
          <w:i/>
          <w:iCs/>
          <w:lang w:val="en-GB"/>
        </w:rPr>
        <w:t>National Health Reform Act 2011 (the Act)</w:t>
      </w:r>
      <w:r w:rsidRPr="00FE3EFA">
        <w:rPr>
          <w:lang w:val="en-GB"/>
        </w:rPr>
        <w:t xml:space="preserve">, the CAC is required to report annually. More information about the CAC can be located in the CAC annual report in Chapter 2 of this report. </w:t>
      </w:r>
    </w:p>
    <w:p w:rsidR="00FE3EFA" w:rsidRPr="00FE3EFA" w:rsidRDefault="00FE3EFA" w:rsidP="00FE3EFA">
      <w:pPr>
        <w:pStyle w:val="Heading3"/>
        <w:rPr>
          <w:lang w:val="en-GB"/>
        </w:rPr>
      </w:pPr>
      <w:r w:rsidRPr="00FE3EFA">
        <w:rPr>
          <w:lang w:val="en-GB"/>
        </w:rPr>
        <w:t>Jurisdictional Advisory Committee</w:t>
      </w:r>
    </w:p>
    <w:p w:rsidR="00FE3EFA" w:rsidRPr="00FE3EFA" w:rsidRDefault="00FE3EFA" w:rsidP="00FE3EFA">
      <w:pPr>
        <w:rPr>
          <w:lang w:val="en-GB"/>
        </w:rPr>
      </w:pPr>
      <w:r w:rsidRPr="00FE3EFA">
        <w:rPr>
          <w:lang w:val="en-GB"/>
        </w:rPr>
        <w:t xml:space="preserve">The Jurisdictional Advisory Committee (JAC) was established under s. 195 of the Act. Membership of the JAC consists of a Chair appointed by the Pricing Authority and nine other members (one to represent each state, territory and the Australian Government). JAC members are appointed by written instrument by the head of the health department of each jurisdiction. </w:t>
      </w:r>
    </w:p>
    <w:p w:rsidR="00FE3EFA" w:rsidRPr="00FE3EFA" w:rsidRDefault="00FE3EFA" w:rsidP="00FE3EFA">
      <w:pPr>
        <w:spacing w:after="0"/>
        <w:rPr>
          <w:lang w:val="en-GB"/>
        </w:rPr>
      </w:pPr>
      <w:r w:rsidRPr="00FE3EFA">
        <w:rPr>
          <w:lang w:val="en-GB"/>
        </w:rPr>
        <w:t>The JAC met on nine occasions between 1 July 2014 and 30 June 2015:</w:t>
      </w:r>
    </w:p>
    <w:p w:rsidR="00FE3EFA" w:rsidRPr="00FE3EFA" w:rsidRDefault="00FE3EFA" w:rsidP="00FE3EFA">
      <w:pPr>
        <w:pStyle w:val="ListBullet"/>
        <w:spacing w:before="20" w:after="20"/>
        <w:rPr>
          <w:lang w:val="en-GB"/>
        </w:rPr>
      </w:pPr>
      <w:r w:rsidRPr="00FE3EFA">
        <w:rPr>
          <w:lang w:val="en-GB"/>
        </w:rPr>
        <w:t>28 July 2014</w:t>
      </w:r>
    </w:p>
    <w:p w:rsidR="00FE3EFA" w:rsidRPr="00FE3EFA" w:rsidRDefault="00FE3EFA" w:rsidP="00FE3EFA">
      <w:pPr>
        <w:pStyle w:val="ListBullet"/>
        <w:spacing w:before="20" w:after="20"/>
        <w:rPr>
          <w:lang w:val="en-GB"/>
        </w:rPr>
      </w:pPr>
      <w:r w:rsidRPr="00FE3EFA">
        <w:rPr>
          <w:lang w:val="en-GB"/>
        </w:rPr>
        <w:t>28 Aug 2014</w:t>
      </w:r>
    </w:p>
    <w:p w:rsidR="00FE3EFA" w:rsidRPr="00FE3EFA" w:rsidRDefault="00FE3EFA" w:rsidP="00FE3EFA">
      <w:pPr>
        <w:pStyle w:val="ListBullet"/>
        <w:spacing w:before="20" w:after="20"/>
        <w:rPr>
          <w:lang w:val="en-GB"/>
        </w:rPr>
      </w:pPr>
      <w:r w:rsidRPr="00FE3EFA">
        <w:rPr>
          <w:lang w:val="en-GB"/>
        </w:rPr>
        <w:t>30 September 2014</w:t>
      </w:r>
    </w:p>
    <w:p w:rsidR="00FE3EFA" w:rsidRPr="00FE3EFA" w:rsidRDefault="00FE3EFA" w:rsidP="00FE3EFA">
      <w:pPr>
        <w:pStyle w:val="ListBullet"/>
        <w:spacing w:before="20" w:after="20"/>
        <w:rPr>
          <w:lang w:val="en-GB"/>
        </w:rPr>
      </w:pPr>
      <w:r w:rsidRPr="00FE3EFA">
        <w:rPr>
          <w:lang w:val="en-GB"/>
        </w:rPr>
        <w:t>31 October 2014</w:t>
      </w:r>
    </w:p>
    <w:p w:rsidR="00FE3EFA" w:rsidRPr="00FE3EFA" w:rsidRDefault="00FE3EFA" w:rsidP="00FE3EFA">
      <w:pPr>
        <w:pStyle w:val="ListBullet"/>
        <w:spacing w:before="20" w:after="20"/>
        <w:rPr>
          <w:lang w:val="en-GB"/>
        </w:rPr>
      </w:pPr>
      <w:r w:rsidRPr="00FE3EFA">
        <w:rPr>
          <w:lang w:val="en-GB"/>
        </w:rPr>
        <w:t>12 December 2014</w:t>
      </w:r>
    </w:p>
    <w:p w:rsidR="00FE3EFA" w:rsidRPr="00FE3EFA" w:rsidRDefault="00FE3EFA" w:rsidP="00FE3EFA">
      <w:pPr>
        <w:pStyle w:val="ListBullet"/>
        <w:spacing w:before="20" w:after="20"/>
        <w:rPr>
          <w:lang w:val="en-GB"/>
        </w:rPr>
      </w:pPr>
      <w:r w:rsidRPr="00FE3EFA">
        <w:rPr>
          <w:lang w:val="en-GB"/>
        </w:rPr>
        <w:t>3 February 2015</w:t>
      </w:r>
    </w:p>
    <w:p w:rsidR="00FE3EFA" w:rsidRPr="00FE3EFA" w:rsidRDefault="00FE3EFA" w:rsidP="00FE3EFA">
      <w:pPr>
        <w:pStyle w:val="ListBullet"/>
        <w:spacing w:before="20" w:after="20"/>
        <w:rPr>
          <w:lang w:val="en-GB"/>
        </w:rPr>
      </w:pPr>
      <w:r w:rsidRPr="00FE3EFA">
        <w:rPr>
          <w:lang w:val="en-GB"/>
        </w:rPr>
        <w:t>3 March 2015</w:t>
      </w:r>
    </w:p>
    <w:p w:rsidR="00FE3EFA" w:rsidRPr="00FE3EFA" w:rsidRDefault="00FE3EFA" w:rsidP="00FE3EFA">
      <w:pPr>
        <w:pStyle w:val="ListBullet"/>
        <w:spacing w:before="20" w:after="20"/>
        <w:rPr>
          <w:lang w:val="en-GB"/>
        </w:rPr>
      </w:pPr>
      <w:r w:rsidRPr="00FE3EFA">
        <w:rPr>
          <w:lang w:val="en-GB"/>
        </w:rPr>
        <w:t>5 May 2015</w:t>
      </w:r>
    </w:p>
    <w:p w:rsidR="00FE3EFA" w:rsidRPr="00FE3EFA" w:rsidRDefault="00FE3EFA" w:rsidP="00FE3EFA">
      <w:pPr>
        <w:pStyle w:val="ListBullet"/>
        <w:spacing w:before="20" w:after="20"/>
        <w:rPr>
          <w:lang w:val="en-GB"/>
        </w:rPr>
      </w:pPr>
      <w:r w:rsidRPr="00FE3EFA">
        <w:rPr>
          <w:lang w:val="en-GB"/>
        </w:rPr>
        <w:t>2 June 2015.</w:t>
      </w:r>
    </w:p>
    <w:p w:rsidR="00FE3EFA" w:rsidRPr="00FE3EFA" w:rsidRDefault="00FE3EFA" w:rsidP="00FE3EFA">
      <w:pPr>
        <w:pStyle w:val="Heading4"/>
        <w:spacing w:after="0"/>
        <w:rPr>
          <w:lang w:val="en-GB"/>
        </w:rPr>
      </w:pPr>
      <w:r w:rsidRPr="00FE3EFA">
        <w:rPr>
          <w:lang w:val="en-GB"/>
        </w:rPr>
        <w:t>Current JAC members</w:t>
      </w:r>
    </w:p>
    <w:p w:rsidR="00FE3EFA" w:rsidRPr="00FE3EFA" w:rsidRDefault="00FE3EFA" w:rsidP="00FE3EFA">
      <w:pPr>
        <w:pStyle w:val="ListBullet"/>
        <w:spacing w:before="20" w:after="20"/>
        <w:ind w:left="357" w:hanging="357"/>
        <w:rPr>
          <w:lang w:val="en-GB"/>
        </w:rPr>
      </w:pPr>
      <w:r w:rsidRPr="00FE3EFA">
        <w:rPr>
          <w:lang w:val="en-GB"/>
        </w:rPr>
        <w:t>Mr James Downie, Chair</w:t>
      </w:r>
    </w:p>
    <w:p w:rsidR="00FE3EFA" w:rsidRPr="00FE3EFA" w:rsidRDefault="00FE3EFA" w:rsidP="00FE3EFA">
      <w:pPr>
        <w:pStyle w:val="ListBullet"/>
        <w:spacing w:before="20" w:after="20"/>
        <w:ind w:left="357" w:hanging="357"/>
        <w:rPr>
          <w:lang w:val="en-GB"/>
        </w:rPr>
      </w:pPr>
      <w:r w:rsidRPr="00FE3EFA">
        <w:rPr>
          <w:lang w:val="en-GB"/>
        </w:rPr>
        <w:t xml:space="preserve">Ms Janet Anderson* </w:t>
      </w:r>
    </w:p>
    <w:p w:rsidR="00FE3EFA" w:rsidRPr="00FE3EFA" w:rsidRDefault="00FE3EFA" w:rsidP="00FE3EFA">
      <w:pPr>
        <w:pStyle w:val="ListBullet"/>
        <w:spacing w:before="20" w:after="20"/>
        <w:ind w:left="357" w:hanging="357"/>
        <w:rPr>
          <w:lang w:val="en-GB"/>
        </w:rPr>
      </w:pPr>
      <w:r w:rsidRPr="00FE3EFA">
        <w:rPr>
          <w:lang w:val="en-GB"/>
        </w:rPr>
        <w:t>Mr Nick Steele</w:t>
      </w:r>
    </w:p>
    <w:p w:rsidR="00FE3EFA" w:rsidRPr="00FE3EFA" w:rsidRDefault="00FE3EFA" w:rsidP="00FE3EFA">
      <w:pPr>
        <w:pStyle w:val="ListBullet"/>
        <w:spacing w:before="20" w:after="20"/>
        <w:ind w:left="357" w:hanging="357"/>
        <w:rPr>
          <w:lang w:val="en-GB"/>
        </w:rPr>
      </w:pPr>
      <w:r w:rsidRPr="00FE3EFA">
        <w:rPr>
          <w:lang w:val="en-GB"/>
        </w:rPr>
        <w:t>Ms Frances Diver</w:t>
      </w:r>
    </w:p>
    <w:p w:rsidR="00FE3EFA" w:rsidRPr="00FE3EFA" w:rsidRDefault="00FE3EFA" w:rsidP="00FE3EFA">
      <w:pPr>
        <w:pStyle w:val="ListBullet"/>
        <w:spacing w:before="20" w:after="20"/>
        <w:ind w:left="357" w:hanging="357"/>
        <w:rPr>
          <w:lang w:val="en-GB"/>
        </w:rPr>
      </w:pPr>
      <w:r w:rsidRPr="00FE3EFA">
        <w:rPr>
          <w:lang w:val="en-GB"/>
        </w:rPr>
        <w:t>Mr Michael Pervan</w:t>
      </w:r>
    </w:p>
    <w:p w:rsidR="00FE3EFA" w:rsidRPr="00FE3EFA" w:rsidRDefault="00FE3EFA" w:rsidP="00FE3EFA">
      <w:pPr>
        <w:pStyle w:val="ListBullet"/>
        <w:spacing w:before="20" w:after="20"/>
        <w:ind w:left="357" w:hanging="357"/>
        <w:rPr>
          <w:lang w:val="en-GB"/>
        </w:rPr>
      </w:pPr>
      <w:r w:rsidRPr="00FE3EFA">
        <w:rPr>
          <w:lang w:val="en-GB"/>
        </w:rPr>
        <w:t>Ms Allison Grierson*</w:t>
      </w:r>
    </w:p>
    <w:p w:rsidR="00FE3EFA" w:rsidRPr="00FE3EFA" w:rsidRDefault="00FE3EFA" w:rsidP="00FE3EFA">
      <w:pPr>
        <w:pStyle w:val="ListBullet"/>
        <w:spacing w:before="20" w:after="20"/>
        <w:ind w:left="357" w:hanging="357"/>
        <w:rPr>
          <w:lang w:val="en-GB"/>
        </w:rPr>
      </w:pPr>
      <w:r w:rsidRPr="00FE3EFA">
        <w:rPr>
          <w:lang w:val="en-GB"/>
        </w:rPr>
        <w:t>Mr Beress Brooks</w:t>
      </w:r>
    </w:p>
    <w:p w:rsidR="00FE3EFA" w:rsidRPr="00FE3EFA" w:rsidRDefault="00FE3EFA" w:rsidP="00FE3EFA">
      <w:pPr>
        <w:pStyle w:val="ListBullet"/>
        <w:spacing w:before="20" w:after="20"/>
        <w:ind w:left="357" w:hanging="357"/>
        <w:rPr>
          <w:lang w:val="en-GB"/>
        </w:rPr>
      </w:pPr>
      <w:r w:rsidRPr="00FE3EFA">
        <w:rPr>
          <w:lang w:val="en-GB"/>
        </w:rPr>
        <w:t>Mr Jamin Woolcock*</w:t>
      </w:r>
    </w:p>
    <w:p w:rsidR="00FE3EFA" w:rsidRDefault="00FE3EFA" w:rsidP="00FE3EFA">
      <w:pPr>
        <w:pStyle w:val="ListBullet"/>
        <w:spacing w:before="20" w:after="20"/>
        <w:ind w:left="357" w:hanging="357"/>
        <w:rPr>
          <w:lang w:val="en-GB"/>
        </w:rPr>
      </w:pPr>
      <w:r w:rsidRPr="00FE3EFA">
        <w:rPr>
          <w:lang w:val="en-GB"/>
        </w:rPr>
        <w:t>Ms Elizabeth Koff*.</w:t>
      </w:r>
    </w:p>
    <w:p w:rsidR="00FE3EFA" w:rsidRPr="00FE3EFA" w:rsidRDefault="00FE3EFA" w:rsidP="00FE3EFA">
      <w:pPr>
        <w:pStyle w:val="SourceNotesText"/>
        <w:rPr>
          <w:lang w:val="en-GB"/>
        </w:rPr>
      </w:pPr>
      <w:r w:rsidRPr="00FE3EFA">
        <w:rPr>
          <w:lang w:val="en-GB"/>
        </w:rPr>
        <w:t>*There were several JAC membership changes during the period 1July 2014 to 30 June 2015. The NT, WA, NSW, ACT and SA advised IHPA of changes to JAC membership by written instrument throughout this period. IHPA’s Acting CEO Mr James Downie, became Chair of JAC from 1 June 2015.</w:t>
      </w:r>
    </w:p>
    <w:p w:rsidR="00FE3EFA" w:rsidRPr="00FE3EFA" w:rsidRDefault="00FE3EFA" w:rsidP="00FE3EFA">
      <w:pPr>
        <w:pStyle w:val="Heading4"/>
        <w:spacing w:after="0"/>
        <w:rPr>
          <w:lang w:val="en-GB"/>
        </w:rPr>
      </w:pPr>
      <w:r w:rsidRPr="00FE3EFA">
        <w:rPr>
          <w:lang w:val="en-GB"/>
        </w:rPr>
        <w:t>Previous members during this period</w:t>
      </w:r>
    </w:p>
    <w:p w:rsidR="00FE3EFA" w:rsidRPr="00FE3EFA" w:rsidRDefault="00FE3EFA" w:rsidP="00FE3EFA">
      <w:pPr>
        <w:pStyle w:val="ListBullet"/>
        <w:spacing w:before="20" w:after="20"/>
        <w:ind w:left="357" w:hanging="357"/>
        <w:rPr>
          <w:lang w:val="en-GB"/>
        </w:rPr>
      </w:pPr>
      <w:r w:rsidRPr="00FE3EFA">
        <w:rPr>
          <w:lang w:val="en-GB"/>
        </w:rPr>
        <w:t>Dr Dorothy Jones</w:t>
      </w:r>
    </w:p>
    <w:p w:rsidR="00FE3EFA" w:rsidRPr="00FE3EFA" w:rsidRDefault="00FE3EFA" w:rsidP="00FE3EFA">
      <w:pPr>
        <w:pStyle w:val="ListBullet"/>
        <w:spacing w:before="20" w:after="20"/>
        <w:ind w:left="357" w:hanging="357"/>
        <w:rPr>
          <w:lang w:val="en-GB"/>
        </w:rPr>
      </w:pPr>
      <w:r w:rsidRPr="00FE3EFA">
        <w:rPr>
          <w:lang w:val="en-GB"/>
        </w:rPr>
        <w:t>Kym Piper</w:t>
      </w:r>
    </w:p>
    <w:p w:rsidR="00FE3EFA" w:rsidRPr="00FE3EFA" w:rsidRDefault="00FE3EFA" w:rsidP="00FE3EFA">
      <w:pPr>
        <w:pStyle w:val="ListBullet"/>
        <w:spacing w:before="20" w:after="20"/>
        <w:ind w:left="357" w:hanging="357"/>
        <w:rPr>
          <w:lang w:val="en-GB"/>
        </w:rPr>
      </w:pPr>
      <w:r w:rsidRPr="00FE3EFA">
        <w:rPr>
          <w:lang w:val="en-GB"/>
        </w:rPr>
        <w:t>Dr Rohan Hammett</w:t>
      </w:r>
    </w:p>
    <w:p w:rsidR="00FE3EFA" w:rsidRPr="00FE3EFA" w:rsidRDefault="00FE3EFA" w:rsidP="00FE3EFA">
      <w:pPr>
        <w:pStyle w:val="ListBullet"/>
        <w:spacing w:before="20" w:after="20"/>
        <w:ind w:left="357" w:hanging="357"/>
        <w:rPr>
          <w:lang w:val="en-GB"/>
        </w:rPr>
      </w:pPr>
      <w:r w:rsidRPr="00FE3EFA">
        <w:rPr>
          <w:lang w:val="en-GB"/>
        </w:rPr>
        <w:t>Stephen Goggs.</w:t>
      </w:r>
    </w:p>
    <w:p w:rsidR="00AF2A56" w:rsidRPr="00AF2A56" w:rsidRDefault="00AF2A56" w:rsidP="00AF2A56">
      <w:pPr>
        <w:pStyle w:val="TableHeading"/>
      </w:pPr>
      <w:r>
        <w:lastRenderedPageBreak/>
        <w:t xml:space="preserve">Table 3: JAC meetings 2014–15 </w:t>
      </w:r>
    </w:p>
    <w:tbl>
      <w:tblPr>
        <w:tblStyle w:val="DefaultTable"/>
        <w:tblW w:w="0" w:type="auto"/>
        <w:tblLayout w:type="fixed"/>
        <w:tblLook w:val="00A0" w:firstRow="1" w:lastRow="0" w:firstColumn="1" w:lastColumn="0" w:noHBand="0" w:noVBand="0"/>
        <w:tblDescription w:val="JAC meetings 2014–15 "/>
      </w:tblPr>
      <w:tblGrid>
        <w:gridCol w:w="5670"/>
        <w:gridCol w:w="1987"/>
      </w:tblGrid>
      <w:tr w:rsidR="00AF2A56" w:rsidRPr="00AF2A56" w:rsidTr="00B207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Members</w:t>
            </w:r>
          </w:p>
        </w:tc>
        <w:tc>
          <w:tcPr>
            <w:tcW w:w="1987" w:type="dxa"/>
          </w:tcPr>
          <w:p w:rsidR="00AF2A56" w:rsidRPr="00AF2A56" w:rsidRDefault="00AF2A56" w:rsidP="0010300A">
            <w:pPr>
              <w:pStyle w:val="TableText"/>
              <w:jc w:val="center"/>
              <w:cnfStyle w:val="100000000000" w:firstRow="1" w:lastRow="0" w:firstColumn="0" w:lastColumn="0" w:oddVBand="0" w:evenVBand="0" w:oddHBand="0" w:evenHBand="0" w:firstRowFirstColumn="0" w:firstRowLastColumn="0" w:lastRowFirstColumn="0" w:lastRowLastColumn="0"/>
            </w:pPr>
            <w:r w:rsidRPr="00AF2A56">
              <w:t>Meetings attended</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IHPA</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9</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Australian Government</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4</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NSW</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5</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SA</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QLD</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8</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WA</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Vic</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6</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NT</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Tas</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2</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ACT</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bl>
    <w:p w:rsidR="00FE3EFA" w:rsidRDefault="00AF2A56" w:rsidP="00AF2A56">
      <w:pPr>
        <w:pStyle w:val="TableHeading"/>
      </w:pPr>
      <w:r w:rsidRPr="00AF2A56">
        <w:t>Table 4: Other committee and working group meetings 2014–15</w:t>
      </w:r>
    </w:p>
    <w:tbl>
      <w:tblPr>
        <w:tblStyle w:val="DefaultTable"/>
        <w:tblW w:w="0" w:type="auto"/>
        <w:tblLayout w:type="fixed"/>
        <w:tblLook w:val="00A0" w:firstRow="1" w:lastRow="0" w:firstColumn="1" w:lastColumn="0" w:noHBand="0" w:noVBand="0"/>
        <w:tblDescription w:val="Other committee and working group meetings 2014–15"/>
      </w:tblPr>
      <w:tblGrid>
        <w:gridCol w:w="5670"/>
        <w:gridCol w:w="1987"/>
      </w:tblGrid>
      <w:tr w:rsidR="00AF2A56" w:rsidRPr="00AF2A56" w:rsidTr="00B207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Committee</w:t>
            </w:r>
          </w:p>
        </w:tc>
        <w:tc>
          <w:tcPr>
            <w:tcW w:w="1987" w:type="dxa"/>
          </w:tcPr>
          <w:p w:rsidR="00AF2A56" w:rsidRPr="00AF2A56" w:rsidRDefault="00AF2A56" w:rsidP="0010300A">
            <w:pPr>
              <w:pStyle w:val="TableText"/>
              <w:jc w:val="center"/>
              <w:cnfStyle w:val="100000000000" w:firstRow="1" w:lastRow="0" w:firstColumn="0" w:lastColumn="0" w:oddVBand="0" w:evenVBand="0" w:oddHBand="0" w:evenHBand="0" w:firstRowFirstColumn="0" w:firstRowLastColumn="0" w:lastRowFirstColumn="0" w:lastRowLastColumn="0"/>
            </w:pPr>
            <w:r w:rsidRPr="00AF2A56">
              <w:t>Meetings held up to 30 June</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Activity Based Funding Technical Advisory Committee</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6</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 xml:space="preserve">Activity Based Funding Evaluation Steering Committee </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4</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Stakeholder Advisory Committee</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4</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Teaching, Training and Research Working Group</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5</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Small Rural Hospitals Working Group</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5</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Non-admitted Care Advisory Working Group</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Subacute Care Working Group</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5</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Mental Health Working Group</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r w:rsidR="00AF2A56" w:rsidRPr="00AF2A56" w:rsidTr="00B207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Emergency Care Advisory Working Group</w:t>
            </w:r>
          </w:p>
        </w:tc>
        <w:tc>
          <w:tcPr>
            <w:tcW w:w="1987" w:type="dxa"/>
          </w:tcPr>
          <w:p w:rsidR="00AF2A56" w:rsidRPr="00AF2A56" w:rsidRDefault="00AF2A56" w:rsidP="0010300A">
            <w:pPr>
              <w:pStyle w:val="TableText"/>
              <w:jc w:val="center"/>
              <w:cnfStyle w:val="000000100000" w:firstRow="0" w:lastRow="0" w:firstColumn="0" w:lastColumn="0" w:oddVBand="0" w:evenVBand="0" w:oddHBand="1" w:evenHBand="0" w:firstRowFirstColumn="0" w:firstRowLastColumn="0" w:lastRowFirstColumn="0" w:lastRowLastColumn="0"/>
            </w:pPr>
            <w:r w:rsidRPr="00AF2A56">
              <w:t>4</w:t>
            </w:r>
          </w:p>
        </w:tc>
      </w:tr>
      <w:tr w:rsidR="00AF2A56" w:rsidRPr="00AF2A56" w:rsidTr="00B207C3">
        <w:trPr>
          <w:trHeight w:val="340"/>
        </w:trPr>
        <w:tc>
          <w:tcPr>
            <w:cnfStyle w:val="001000000000" w:firstRow="0" w:lastRow="0" w:firstColumn="1" w:lastColumn="0" w:oddVBand="0" w:evenVBand="0" w:oddHBand="0" w:evenHBand="0" w:firstRowFirstColumn="0" w:firstRowLastColumn="0" w:lastRowFirstColumn="0" w:lastRowLastColumn="0"/>
            <w:tcW w:w="5670" w:type="dxa"/>
          </w:tcPr>
          <w:p w:rsidR="00AF2A56" w:rsidRPr="00AF2A56" w:rsidRDefault="00AF2A56" w:rsidP="00AF2A56">
            <w:pPr>
              <w:pStyle w:val="TableText"/>
            </w:pPr>
            <w:r w:rsidRPr="00AF2A56">
              <w:t>National Hospital Cost Data Collection Advisory Committee</w:t>
            </w:r>
          </w:p>
        </w:tc>
        <w:tc>
          <w:tcPr>
            <w:tcW w:w="1987" w:type="dxa"/>
          </w:tcPr>
          <w:p w:rsidR="00AF2A56" w:rsidRPr="00AF2A56" w:rsidRDefault="00AF2A56" w:rsidP="0010300A">
            <w:pPr>
              <w:pStyle w:val="TableText"/>
              <w:jc w:val="center"/>
              <w:cnfStyle w:val="000000000000" w:firstRow="0" w:lastRow="0" w:firstColumn="0" w:lastColumn="0" w:oddVBand="0" w:evenVBand="0" w:oddHBand="0" w:evenHBand="0" w:firstRowFirstColumn="0" w:firstRowLastColumn="0" w:lastRowFirstColumn="0" w:lastRowLastColumn="0"/>
            </w:pPr>
            <w:r w:rsidRPr="00AF2A56">
              <w:t>6</w:t>
            </w:r>
          </w:p>
        </w:tc>
      </w:tr>
    </w:tbl>
    <w:p w:rsidR="00AF2A56" w:rsidRPr="00321D1E" w:rsidRDefault="00AF2A56" w:rsidP="00321D1E"/>
    <w:p w:rsidR="008B502A" w:rsidRDefault="008B502A" w:rsidP="00BC46EB">
      <w:r>
        <w:br w:type="page"/>
      </w:r>
    </w:p>
    <w:p w:rsidR="009C12C6" w:rsidRDefault="004A4CED" w:rsidP="004A4CED">
      <w:pPr>
        <w:pStyle w:val="FigureHeading"/>
      </w:pPr>
      <w:r w:rsidRPr="004A4CED">
        <w:lastRenderedPageBreak/>
        <w:t>Figure 3: Committee chairs</w:t>
      </w:r>
    </w:p>
    <w:p w:rsidR="004A4CED" w:rsidRDefault="004A4CED" w:rsidP="00DE2AC3">
      <w:pPr>
        <w:spacing w:after="720"/>
      </w:pPr>
      <w:r>
        <w:rPr>
          <w:noProof/>
        </w:rPr>
        <w:drawing>
          <wp:inline distT="0" distB="0" distL="0" distR="0" wp14:anchorId="01666F12" wp14:editId="51BFB352">
            <wp:extent cx="6324600" cy="3199076"/>
            <wp:effectExtent l="0" t="0" r="0" b="1905"/>
            <wp:docPr id="29" name="Picture 29" descr="Figure three is entitled Committee Chairs.&#10;First column: Pricing Authority – Chair: Shane Solomon, Clinical Advisory Committee (statutory committee) – Chair: Ian Gough, Jurisdictional Advisory Committee (statutory committee) – Chair: James Downie, Stakeholder Advisory Committee (advisory committee) – Chair: James Downie, ABF Technical Advisory Committee (advisory committee) – Chair: James Downie and NHCDC Advisory Committee (advisory committee) – Chair: James Downie&#10;Second column contains management committees only: IHPA Executive Committee – Chair: James Downie, Compliance Working Group – Chair: Peter Hadfield, Workplace Health &amp; Safety Committee – Chair: Steven Minter, Audit Risk &amp; Compliance Committee – Chair: Robert Butterworth, Finance Committee – Chair: James Downie, and ICT Steering Committee – Chair: James Downie.&#10;Third column contains technical working groups only: Subacute Care Working Group – Chair: James Downie, Mental Health Care Working Group – Chair: James Downie, Emergency Care Advisory Working Group – Chair: James Downie, Non-Admitted Care Advisory Working Group – Chair: James Downie, Small Rural Hospital Working Group – Chair: James Downie and Teaching, Training and Research Working Group – Chair: James Dow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2122" cy="3197822"/>
                    </a:xfrm>
                    <a:prstGeom prst="rect">
                      <a:avLst/>
                    </a:prstGeom>
                  </pic:spPr>
                </pic:pic>
              </a:graphicData>
            </a:graphic>
          </wp:inline>
        </w:drawing>
      </w:r>
    </w:p>
    <w:p w:rsidR="004A4CED" w:rsidRPr="004A4CED" w:rsidRDefault="004A4CED" w:rsidP="004A4CED">
      <w:pPr>
        <w:pStyle w:val="Heading3"/>
        <w:rPr>
          <w:lang w:val="en-GB"/>
        </w:rPr>
      </w:pPr>
      <w:r w:rsidRPr="004A4CED">
        <w:rPr>
          <w:lang w:val="en-GB"/>
        </w:rPr>
        <w:t>IHPA internal committees</w:t>
      </w:r>
    </w:p>
    <w:p w:rsidR="004A4CED" w:rsidRPr="004A4CED" w:rsidRDefault="004A4CED" w:rsidP="004A4CED">
      <w:pPr>
        <w:rPr>
          <w:lang w:val="en-GB"/>
        </w:rPr>
      </w:pPr>
      <w:r w:rsidRPr="004A4CED">
        <w:rPr>
          <w:lang w:val="en-GB"/>
        </w:rPr>
        <w:t xml:space="preserve">IHPA has a number of internal committees that provide independent assurance and assistance to the CEO, the Executive Committee and the Pricing Authority on matters such as risk, control and compliance frameworks and financial statement responsibilities. </w:t>
      </w:r>
    </w:p>
    <w:p w:rsidR="004A4CED" w:rsidRDefault="004A4CED" w:rsidP="00BC46EB">
      <w:pPr>
        <w:rPr>
          <w:lang w:val="en-GB"/>
        </w:rPr>
      </w:pPr>
      <w:r w:rsidRPr="004A4CED">
        <w:rPr>
          <w:lang w:val="en-GB"/>
        </w:rPr>
        <w:t>More detailed information about these committees can be located in Chapter 4.</w:t>
      </w:r>
    </w:p>
    <w:p w:rsidR="00142D10" w:rsidRDefault="00142D10" w:rsidP="00BC46EB">
      <w:pPr>
        <w:rPr>
          <w:lang w:val="en-GB"/>
        </w:rPr>
      </w:pPr>
      <w:r>
        <w:rPr>
          <w:lang w:val="en-GB"/>
        </w:rPr>
        <w:br w:type="page"/>
      </w:r>
    </w:p>
    <w:p w:rsidR="00142D10" w:rsidRDefault="00142D10" w:rsidP="00142D10">
      <w:pPr>
        <w:pStyle w:val="Heading1"/>
      </w:pPr>
      <w:bookmarkStart w:id="6" w:name="_Toc432437396"/>
      <w:r w:rsidRPr="00142D10">
        <w:rPr>
          <w:noProof/>
          <w:color w:val="FFFFFF" w:themeColor="background1"/>
          <w:sz w:val="32"/>
          <w:szCs w:val="32"/>
        </w:rPr>
        <w:lastRenderedPageBreak/>
        <w:drawing>
          <wp:anchor distT="0" distB="0" distL="114300" distR="114300" simplePos="0" relativeHeight="251655168" behindDoc="1" locked="0" layoutInCell="0" allowOverlap="1" wp14:anchorId="424F29F5" wp14:editId="720960C9">
            <wp:simplePos x="0" y="0"/>
            <wp:positionH relativeFrom="page">
              <wp:align>left</wp:align>
            </wp:positionH>
            <wp:positionV relativeFrom="page">
              <wp:align>top</wp:align>
            </wp:positionV>
            <wp:extent cx="7560000" cy="106920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A624CB">
        <w:rPr>
          <w:color w:val="FFFFFF" w:themeColor="background1"/>
          <w:sz w:val="32"/>
          <w:szCs w:val="32"/>
        </w:rPr>
        <w:t>C</w:t>
      </w:r>
      <w:r w:rsidRPr="00142D10">
        <w:rPr>
          <w:caps w:val="0"/>
          <w:color w:val="FFFFFF" w:themeColor="background1"/>
          <w:sz w:val="32"/>
          <w:szCs w:val="32"/>
        </w:rPr>
        <w:t>hapter</w:t>
      </w:r>
      <w:r w:rsidRPr="00142D10">
        <w:rPr>
          <w:color w:val="FFFFFF" w:themeColor="background1"/>
          <w:sz w:val="32"/>
          <w:szCs w:val="32"/>
        </w:rPr>
        <w:t xml:space="preserve"> 2</w:t>
      </w:r>
      <w:r w:rsidRPr="00142D10">
        <w:rPr>
          <w:color w:val="FFFFFF" w:themeColor="background1"/>
        </w:rPr>
        <w:br/>
        <w:t>Clinical</w:t>
      </w:r>
      <w:r>
        <w:rPr>
          <w:color w:val="FFFFFF" w:themeColor="background1"/>
        </w:rPr>
        <w:br/>
        <w:t>Advisory</w:t>
      </w:r>
      <w:r>
        <w:rPr>
          <w:color w:val="FFFFFF" w:themeColor="background1"/>
        </w:rPr>
        <w:br/>
        <w:t>Committee</w:t>
      </w:r>
      <w:r>
        <w:rPr>
          <w:color w:val="FFFFFF" w:themeColor="background1"/>
        </w:rPr>
        <w:br/>
        <w:t>Annual</w:t>
      </w:r>
      <w:r>
        <w:rPr>
          <w:color w:val="FFFFFF" w:themeColor="background1"/>
        </w:rPr>
        <w:br/>
      </w:r>
      <w:r w:rsidRPr="00142D10">
        <w:rPr>
          <w:color w:val="FFFFFF" w:themeColor="background1"/>
        </w:rPr>
        <w:t>Report</w:t>
      </w:r>
      <w:bookmarkEnd w:id="6"/>
      <w:r w:rsidRPr="00142D10">
        <w:rPr>
          <w:color w:val="FFFFFF" w:themeColor="background1"/>
        </w:rPr>
        <w:t xml:space="preserve"> </w:t>
      </w:r>
      <w:r>
        <w:br w:type="page"/>
      </w:r>
    </w:p>
    <w:p w:rsidR="00142D10" w:rsidRDefault="00BC1651" w:rsidP="00BC1651">
      <w:pPr>
        <w:pStyle w:val="Heading2"/>
      </w:pPr>
      <w:r w:rsidRPr="00BC1651">
        <w:lastRenderedPageBreak/>
        <w:t>Letter from the Chair</w:t>
      </w:r>
    </w:p>
    <w:p w:rsidR="00BC1651" w:rsidRPr="00BC1651" w:rsidRDefault="00BC1651" w:rsidP="00BC1651">
      <w:pPr>
        <w:pStyle w:val="Intro"/>
        <w:rPr>
          <w:lang w:val="en-GB"/>
        </w:rPr>
      </w:pPr>
      <w:r>
        <w:rPr>
          <w:noProof/>
        </w:rPr>
        <w:drawing>
          <wp:anchor distT="0" distB="0" distL="114300" distR="114300" simplePos="0" relativeHeight="251656192" behindDoc="0" locked="0" layoutInCell="0" allowOverlap="1" wp14:anchorId="6CD2F57B" wp14:editId="74205043">
            <wp:simplePos x="0" y="0"/>
            <wp:positionH relativeFrom="column">
              <wp:posOffset>5142230</wp:posOffset>
            </wp:positionH>
            <wp:positionV relativeFrom="page">
              <wp:posOffset>2145665</wp:posOffset>
            </wp:positionV>
            <wp:extent cx="1836000" cy="2073600"/>
            <wp:effectExtent l="0" t="0" r="0" b="3175"/>
            <wp:wrapNone/>
            <wp:docPr id="3" name="Picture 3" descr="Photograph of Ian Gough, Chair of the Clinical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6000" cy="2073600"/>
                    </a:xfrm>
                    <a:prstGeom prst="rect">
                      <a:avLst/>
                    </a:prstGeom>
                  </pic:spPr>
                </pic:pic>
              </a:graphicData>
            </a:graphic>
            <wp14:sizeRelH relativeFrom="page">
              <wp14:pctWidth>0</wp14:pctWidth>
            </wp14:sizeRelH>
            <wp14:sizeRelV relativeFrom="page">
              <wp14:pctHeight>0</wp14:pctHeight>
            </wp14:sizeRelV>
          </wp:anchor>
        </w:drawing>
      </w:r>
      <w:r w:rsidRPr="00BC1651">
        <w:rPr>
          <w:lang w:val="en-GB"/>
        </w:rPr>
        <w:t xml:space="preserve">I am pleased to report on the Clinical Advisory Committee’s (CAC’s) achievements during 2014–15. </w:t>
      </w:r>
    </w:p>
    <w:p w:rsidR="00BC1651" w:rsidRPr="00BC1651" w:rsidRDefault="00BC1651" w:rsidP="00BC1651">
      <w:pPr>
        <w:rPr>
          <w:lang w:val="en-GB"/>
        </w:rPr>
      </w:pPr>
      <w:r w:rsidRPr="00BC1651">
        <w:rPr>
          <w:lang w:val="en-GB"/>
        </w:rPr>
        <w:t>The CAC was established in 2011 as part of the National Health Reform Agreement to offer the Independent Hospital Pricing Authority (IHPA) strategic clinical advice to help guide its work program.</w:t>
      </w:r>
    </w:p>
    <w:p w:rsidR="00BC1651" w:rsidRPr="00BC1651" w:rsidRDefault="00BC1651" w:rsidP="00BC1651">
      <w:pPr>
        <w:rPr>
          <w:lang w:val="en-GB"/>
        </w:rPr>
      </w:pPr>
      <w:r w:rsidRPr="00BC1651">
        <w:rPr>
          <w:lang w:val="en-GB"/>
        </w:rPr>
        <w:t>Through its establishment the CAC has provided essential support to IHPA’s work via the clinical expertise of its members who assist IHPA with resolving clinical matters as they arise.</w:t>
      </w:r>
    </w:p>
    <w:p w:rsidR="00BC1651" w:rsidRPr="00BC1651" w:rsidRDefault="00BC1651" w:rsidP="00BC1651">
      <w:pPr>
        <w:rPr>
          <w:lang w:val="en-GB"/>
        </w:rPr>
      </w:pPr>
      <w:r w:rsidRPr="00BC1651">
        <w:rPr>
          <w:lang w:val="en-GB"/>
        </w:rPr>
        <w:t xml:space="preserve">In 2014–15 members were involved with the development of the </w:t>
      </w:r>
      <w:r w:rsidRPr="00BC1651">
        <w:rPr>
          <w:i/>
          <w:iCs/>
          <w:lang w:val="en-GB"/>
        </w:rPr>
        <w:t>Pricing Framework for Australian Public Hospital Services 2015–16</w:t>
      </w:r>
      <w:r w:rsidRPr="00BC1651">
        <w:rPr>
          <w:lang w:val="en-GB"/>
        </w:rPr>
        <w:t xml:space="preserve"> which informed the National Efficient Price and National Efficient Cost Determinations for 2015–16. </w:t>
      </w:r>
    </w:p>
    <w:p w:rsidR="00BC1651" w:rsidRPr="00BC1651" w:rsidRDefault="00BC1651" w:rsidP="00BC1651">
      <w:pPr>
        <w:rPr>
          <w:lang w:val="en-GB"/>
        </w:rPr>
      </w:pPr>
      <w:r w:rsidRPr="00BC1651">
        <w:rPr>
          <w:lang w:val="en-GB"/>
        </w:rPr>
        <w:t xml:space="preserve">In addition to the CAC’s work on the revision and development of existing classification systems, this year the CAC played a key role in the ground-breaking work to establish national classification systems for mental health care and teaching and training. </w:t>
      </w:r>
    </w:p>
    <w:p w:rsidR="00BC1651" w:rsidRPr="00BC1651" w:rsidRDefault="00BC1651" w:rsidP="00BC1651">
      <w:pPr>
        <w:rPr>
          <w:lang w:val="en-GB"/>
        </w:rPr>
      </w:pPr>
      <w:r w:rsidRPr="00BC1651">
        <w:rPr>
          <w:lang w:val="en-GB"/>
        </w:rPr>
        <w:t>Other achievements highlighted in this chapter include the assessment of new technologies and their impact on the pricing model, continuing work on national costing standards and pricing for safety and quality.</w:t>
      </w:r>
    </w:p>
    <w:p w:rsidR="00BC1651" w:rsidRPr="00BC1651" w:rsidRDefault="00BC1651" w:rsidP="00BC1651">
      <w:pPr>
        <w:rPr>
          <w:lang w:val="en-GB"/>
        </w:rPr>
      </w:pPr>
      <w:r w:rsidRPr="00BC1651">
        <w:rPr>
          <w:lang w:val="en-GB"/>
        </w:rPr>
        <w:t xml:space="preserve">I would like to thank my fellow CAC members for their contribution to the work outlined within this chapter. I would also like to recognise the members of IHPA’s Pricing Authority and its staff who have once again delivered a successful work program in 2014–15. </w:t>
      </w:r>
    </w:p>
    <w:p w:rsidR="00BC1651" w:rsidRPr="00BC1651" w:rsidRDefault="00BC1651" w:rsidP="00BC1651">
      <w:pPr>
        <w:rPr>
          <w:lang w:val="en-GB"/>
        </w:rPr>
      </w:pPr>
      <w:r w:rsidRPr="00BC1651">
        <w:rPr>
          <w:lang w:val="en-GB"/>
        </w:rPr>
        <w:t>I look forward to continuing IHPA’s work to drive transparency across the health system to help achieve better healt</w:t>
      </w:r>
      <w:r w:rsidR="00D30F73">
        <w:rPr>
          <w:lang w:val="en-GB"/>
        </w:rPr>
        <w:t>h outcomes for all Australians.</w:t>
      </w:r>
    </w:p>
    <w:p w:rsidR="00BC1651" w:rsidRPr="00BC1651" w:rsidRDefault="00BC1651" w:rsidP="00BC1651">
      <w:pPr>
        <w:rPr>
          <w:lang w:val="en-GB"/>
        </w:rPr>
      </w:pPr>
      <w:r>
        <w:rPr>
          <w:noProof/>
        </w:rPr>
        <w:drawing>
          <wp:inline distT="0" distB="0" distL="0" distR="0" wp14:anchorId="16B41FCA" wp14:editId="17344F31">
            <wp:extent cx="2002540" cy="588265"/>
            <wp:effectExtent l="0" t="0" r="0" b="2540"/>
            <wp:docPr id="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2540" cy="588265"/>
                    </a:xfrm>
                    <a:prstGeom prst="rect">
                      <a:avLst/>
                    </a:prstGeom>
                  </pic:spPr>
                </pic:pic>
              </a:graphicData>
            </a:graphic>
          </wp:inline>
        </w:drawing>
      </w:r>
    </w:p>
    <w:p w:rsidR="00BC1651" w:rsidRPr="00BC1651" w:rsidRDefault="00BC1651" w:rsidP="00BC1651">
      <w:pPr>
        <w:pStyle w:val="NoSpacing"/>
        <w:rPr>
          <w:rStyle w:val="Strong"/>
        </w:rPr>
      </w:pPr>
      <w:r w:rsidRPr="00BC1651">
        <w:rPr>
          <w:rStyle w:val="Strong"/>
        </w:rPr>
        <w:t xml:space="preserve">Professor Ian Gough </w:t>
      </w:r>
    </w:p>
    <w:p w:rsidR="00BC1651" w:rsidRPr="00BC1651" w:rsidRDefault="00BC1651" w:rsidP="00BC1651">
      <w:pPr>
        <w:pStyle w:val="NoSpacing"/>
        <w:rPr>
          <w:lang w:val="en-GB"/>
        </w:rPr>
      </w:pPr>
      <w:r w:rsidRPr="00BC1651">
        <w:rPr>
          <w:lang w:val="en-GB"/>
        </w:rPr>
        <w:t>Clinical Advisory Committee Chair</w:t>
      </w:r>
    </w:p>
    <w:p w:rsidR="00BC1651" w:rsidRDefault="00BC1651" w:rsidP="00BC1651">
      <w:pPr>
        <w:pStyle w:val="NoSpacing"/>
        <w:rPr>
          <w:lang w:val="en-GB"/>
        </w:rPr>
      </w:pPr>
      <w:r w:rsidRPr="00BC1651">
        <w:rPr>
          <w:lang w:val="en-GB"/>
        </w:rPr>
        <w:t>2 October 2015</w:t>
      </w:r>
    </w:p>
    <w:p w:rsidR="00065022" w:rsidRDefault="00065022" w:rsidP="00065022">
      <w:r>
        <w:br w:type="page"/>
      </w:r>
    </w:p>
    <w:p w:rsidR="00065022" w:rsidRPr="00065022" w:rsidRDefault="00065022" w:rsidP="00065022">
      <w:pPr>
        <w:pStyle w:val="Heading2"/>
        <w:rPr>
          <w:lang w:val="en-GB"/>
        </w:rPr>
      </w:pPr>
      <w:r w:rsidRPr="00065022">
        <w:rPr>
          <w:lang w:val="en-GB"/>
        </w:rPr>
        <w:lastRenderedPageBreak/>
        <w:t xml:space="preserve">About the Clinical </w:t>
      </w:r>
      <w:r>
        <w:rPr>
          <w:lang w:val="en-GB"/>
        </w:rPr>
        <w:br/>
      </w:r>
      <w:r w:rsidRPr="00065022">
        <w:rPr>
          <w:lang w:val="en-GB"/>
        </w:rPr>
        <w:t xml:space="preserve">Advisory Committee </w:t>
      </w:r>
    </w:p>
    <w:p w:rsidR="00065022" w:rsidRPr="00065022" w:rsidRDefault="00065022" w:rsidP="00065022">
      <w:pPr>
        <w:pStyle w:val="Intro"/>
        <w:rPr>
          <w:lang w:val="en-GB"/>
        </w:rPr>
      </w:pPr>
      <w:r w:rsidRPr="00065022">
        <w:rPr>
          <w:lang w:val="en-GB"/>
        </w:rPr>
        <w:t xml:space="preserve">The Clinical Advisory Committee (CAC) is a statutory committee that was established under Part 4.10 of the </w:t>
      </w:r>
      <w:r w:rsidRPr="00065022">
        <w:rPr>
          <w:i/>
          <w:iCs/>
          <w:lang w:val="en-GB"/>
        </w:rPr>
        <w:t>National Health Reform Act 2011</w:t>
      </w:r>
      <w:r w:rsidRPr="00065022">
        <w:rPr>
          <w:lang w:val="en-GB"/>
        </w:rPr>
        <w:t xml:space="preserve">. </w:t>
      </w:r>
    </w:p>
    <w:p w:rsidR="00065022" w:rsidRPr="00065022" w:rsidRDefault="00065022" w:rsidP="00065022">
      <w:pPr>
        <w:rPr>
          <w:lang w:val="en-GB"/>
        </w:rPr>
      </w:pPr>
      <w:r w:rsidRPr="00065022">
        <w:rPr>
          <w:lang w:val="en-GB"/>
        </w:rPr>
        <w:t>The functions of the CAC as described in s. 177:</w:t>
      </w:r>
    </w:p>
    <w:p w:rsidR="00065022" w:rsidRDefault="00065022" w:rsidP="00065022">
      <w:pPr>
        <w:pStyle w:val="ListParagraph"/>
        <w:numPr>
          <w:ilvl w:val="0"/>
          <w:numId w:val="33"/>
        </w:numPr>
        <w:rPr>
          <w:i/>
          <w:iCs/>
          <w:lang w:val="en-GB"/>
        </w:rPr>
      </w:pPr>
      <w:r w:rsidRPr="00065022">
        <w:rPr>
          <w:i/>
          <w:iCs/>
          <w:lang w:val="en-GB"/>
        </w:rPr>
        <w:t>to advise the Pricing Authority in relation to developing and specifying classification systems for health care and other services provided by public hospitals;</w:t>
      </w:r>
    </w:p>
    <w:p w:rsidR="00065022" w:rsidRPr="00065022" w:rsidRDefault="00065022" w:rsidP="00065022">
      <w:pPr>
        <w:pStyle w:val="ListParagraph"/>
        <w:numPr>
          <w:ilvl w:val="0"/>
          <w:numId w:val="33"/>
        </w:numPr>
        <w:rPr>
          <w:i/>
          <w:iCs/>
          <w:lang w:val="en-GB"/>
        </w:rPr>
      </w:pPr>
      <w:r w:rsidRPr="00065022">
        <w:rPr>
          <w:i/>
          <w:iCs/>
          <w:lang w:val="en-GB"/>
        </w:rPr>
        <w:t>to advise the Pricing Authority in relation to matters that:</w:t>
      </w:r>
    </w:p>
    <w:p w:rsidR="00065022" w:rsidRPr="00065022" w:rsidRDefault="00065022" w:rsidP="00065022">
      <w:pPr>
        <w:pStyle w:val="ListParagraph"/>
        <w:numPr>
          <w:ilvl w:val="0"/>
          <w:numId w:val="36"/>
        </w:numPr>
        <w:rPr>
          <w:i/>
          <w:iCs/>
          <w:lang w:val="en-GB"/>
        </w:rPr>
      </w:pPr>
      <w:r w:rsidRPr="00065022">
        <w:rPr>
          <w:i/>
          <w:iCs/>
          <w:lang w:val="en-GB"/>
        </w:rPr>
        <w:t>relate to the functions of the Pricing Authority; and</w:t>
      </w:r>
    </w:p>
    <w:p w:rsidR="00065022" w:rsidRPr="00065022" w:rsidRDefault="00065022" w:rsidP="00065022">
      <w:pPr>
        <w:pStyle w:val="ListParagraph"/>
        <w:numPr>
          <w:ilvl w:val="0"/>
          <w:numId w:val="36"/>
        </w:numPr>
        <w:rPr>
          <w:i/>
          <w:iCs/>
          <w:lang w:val="en-GB"/>
        </w:rPr>
      </w:pPr>
      <w:r w:rsidRPr="00065022">
        <w:rPr>
          <w:i/>
          <w:iCs/>
          <w:lang w:val="en-GB"/>
        </w:rPr>
        <w:t>are referred to the Clinical Advisory Committee by the Pricing Authority;</w:t>
      </w:r>
    </w:p>
    <w:p w:rsidR="00065022" w:rsidRPr="00065022" w:rsidRDefault="00065022" w:rsidP="00065022">
      <w:pPr>
        <w:pStyle w:val="ListParagraph"/>
        <w:numPr>
          <w:ilvl w:val="0"/>
          <w:numId w:val="33"/>
        </w:numPr>
        <w:rPr>
          <w:i/>
          <w:iCs/>
          <w:lang w:val="en-GB"/>
        </w:rPr>
      </w:pPr>
      <w:r w:rsidRPr="00065022">
        <w:rPr>
          <w:i/>
          <w:iCs/>
          <w:lang w:val="en-GB"/>
        </w:rPr>
        <w:t xml:space="preserve">to do anything incidental to or conducive to the performance of the above functions. </w:t>
      </w:r>
    </w:p>
    <w:p w:rsidR="00065022" w:rsidRPr="00065022" w:rsidRDefault="00065022" w:rsidP="00065022">
      <w:pPr>
        <w:rPr>
          <w:lang w:val="en-GB"/>
        </w:rPr>
      </w:pPr>
      <w:r w:rsidRPr="00065022">
        <w:rPr>
          <w:lang w:val="en-GB"/>
        </w:rPr>
        <w:t xml:space="preserve">The CAC is a key component of the National Health Reform Agreement and the </w:t>
      </w:r>
      <w:r w:rsidRPr="00065022">
        <w:rPr>
          <w:i/>
          <w:iCs/>
          <w:lang w:val="en-GB"/>
        </w:rPr>
        <w:t>National Health Reform Act 2011</w:t>
      </w:r>
      <w:r w:rsidRPr="00065022">
        <w:rPr>
          <w:lang w:val="en-GB"/>
        </w:rPr>
        <w:t>. The CAC was established to ensure that clinicians had input in the development of a national Activity Based Funding system through the provision of timely and quality clinical advice to inform Pricing Authority decision making.</w:t>
      </w:r>
    </w:p>
    <w:p w:rsidR="00065022" w:rsidRPr="00065022" w:rsidRDefault="00065022" w:rsidP="00065022">
      <w:pPr>
        <w:rPr>
          <w:lang w:val="en-GB"/>
        </w:rPr>
      </w:pPr>
      <w:r w:rsidRPr="00065022">
        <w:rPr>
          <w:lang w:val="en-GB"/>
        </w:rPr>
        <w:t>The 27 members of the CAC were appointed by the Australian Government Minister for Health and are drawn from a range of clinical specialties and backgrounds to ensure the CAC represents a wide range of clinical expertise. Appointments are based on individual expertise rather than as a representative of an organisation, peak body or jurisdiction. Remuneration is determined by the Remuneration Tribunal.</w:t>
      </w:r>
    </w:p>
    <w:p w:rsidR="00065022" w:rsidRPr="00065022" w:rsidRDefault="00065022" w:rsidP="00065022">
      <w:pPr>
        <w:rPr>
          <w:lang w:val="en-GB"/>
        </w:rPr>
      </w:pPr>
      <w:r w:rsidRPr="00065022">
        <w:rPr>
          <w:lang w:val="en-GB"/>
        </w:rPr>
        <w:t xml:space="preserve">The Chair of the CAC, Professor Ian Gough, reports to the Australian Government Minister for Health and is supported by IHPA staff. </w:t>
      </w:r>
    </w:p>
    <w:p w:rsidR="00065022" w:rsidRDefault="00065022" w:rsidP="00065022">
      <w:r>
        <w:br w:type="page"/>
      </w:r>
    </w:p>
    <w:p w:rsidR="00065022" w:rsidRPr="00065022" w:rsidRDefault="00065022" w:rsidP="00065022">
      <w:pPr>
        <w:pStyle w:val="Heading2"/>
        <w:rPr>
          <w:lang w:val="en-GB"/>
        </w:rPr>
      </w:pPr>
      <w:r w:rsidRPr="00065022">
        <w:rPr>
          <w:lang w:val="en-GB"/>
        </w:rPr>
        <w:lastRenderedPageBreak/>
        <w:t xml:space="preserve">Membership Of the Clinical Advisory Committee </w:t>
      </w:r>
    </w:p>
    <w:p w:rsidR="00065022" w:rsidRPr="00065022" w:rsidRDefault="00065022" w:rsidP="00065022">
      <w:pPr>
        <w:rPr>
          <w:lang w:val="en-GB"/>
        </w:rPr>
      </w:pPr>
      <w:r w:rsidRPr="00065022">
        <w:rPr>
          <w:lang w:val="en-GB"/>
        </w:rPr>
        <w:t>The 27 members of the CAC met four times in 2014–15.</w:t>
      </w:r>
    </w:p>
    <w:p w:rsidR="00065022" w:rsidRDefault="00065022" w:rsidP="00065022">
      <w:pPr>
        <w:pStyle w:val="TableHeading"/>
      </w:pPr>
      <w:r w:rsidRPr="00065022">
        <w:t>Table 5: Membership of the Clinical Advisory Committee</w:t>
      </w:r>
    </w:p>
    <w:tbl>
      <w:tblPr>
        <w:tblStyle w:val="DefaultTable"/>
        <w:tblW w:w="9883" w:type="dxa"/>
        <w:tblLayout w:type="fixed"/>
        <w:tblLook w:val="00A0" w:firstRow="1" w:lastRow="0" w:firstColumn="1" w:lastColumn="0" w:noHBand="0" w:noVBand="0"/>
        <w:tblDescription w:val="Membership of the Clinical Advisory Committee"/>
      </w:tblPr>
      <w:tblGrid>
        <w:gridCol w:w="2552"/>
        <w:gridCol w:w="1417"/>
        <w:gridCol w:w="3261"/>
        <w:gridCol w:w="1326"/>
        <w:gridCol w:w="1327"/>
      </w:tblGrid>
      <w:tr w:rsidR="007837C7" w:rsidRPr="007837C7" w:rsidTr="007837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Align w:val="top"/>
          </w:tcPr>
          <w:p w:rsidR="007837C7" w:rsidRPr="007837C7" w:rsidRDefault="007837C7" w:rsidP="007837C7">
            <w:pPr>
              <w:pStyle w:val="TableText"/>
            </w:pPr>
            <w:r w:rsidRPr="007837C7">
              <w:t>Name</w:t>
            </w:r>
          </w:p>
        </w:tc>
        <w:tc>
          <w:tcPr>
            <w:tcW w:w="1417" w:type="dxa"/>
            <w:vAlign w:val="top"/>
          </w:tcPr>
          <w:p w:rsidR="007837C7" w:rsidRPr="007837C7" w:rsidRDefault="007837C7" w:rsidP="007837C7">
            <w:pPr>
              <w:pStyle w:val="TableText"/>
              <w:cnfStyle w:val="100000000000" w:firstRow="1" w:lastRow="0" w:firstColumn="0" w:lastColumn="0" w:oddVBand="0" w:evenVBand="0" w:oddHBand="0" w:evenHBand="0" w:firstRowFirstColumn="0" w:firstRowLastColumn="0" w:lastRowFirstColumn="0" w:lastRowLastColumn="0"/>
            </w:pPr>
            <w:r w:rsidRPr="007837C7">
              <w:t>Position</w:t>
            </w:r>
          </w:p>
        </w:tc>
        <w:tc>
          <w:tcPr>
            <w:tcW w:w="3261" w:type="dxa"/>
            <w:vAlign w:val="top"/>
          </w:tcPr>
          <w:p w:rsidR="007837C7" w:rsidRPr="007837C7" w:rsidRDefault="007837C7" w:rsidP="007837C7">
            <w:pPr>
              <w:pStyle w:val="TableText"/>
              <w:cnfStyle w:val="100000000000" w:firstRow="1" w:lastRow="0" w:firstColumn="0" w:lastColumn="0" w:oddVBand="0" w:evenVBand="0" w:oddHBand="0" w:evenHBand="0" w:firstRowFirstColumn="0" w:firstRowLastColumn="0" w:lastRowFirstColumn="0" w:lastRowLastColumn="0"/>
            </w:pPr>
            <w:r w:rsidRPr="007837C7">
              <w:t>Specialty</w:t>
            </w:r>
          </w:p>
        </w:tc>
        <w:tc>
          <w:tcPr>
            <w:tcW w:w="1326" w:type="dxa"/>
            <w:vAlign w:val="top"/>
          </w:tcPr>
          <w:p w:rsidR="007837C7" w:rsidRPr="007837C7" w:rsidRDefault="007837C7" w:rsidP="007837C7">
            <w:pPr>
              <w:pStyle w:val="TableText"/>
              <w:jc w:val="center"/>
              <w:cnfStyle w:val="100000000000" w:firstRow="1" w:lastRow="0" w:firstColumn="0" w:lastColumn="0" w:oddVBand="0" w:evenVBand="0" w:oddHBand="0" w:evenHBand="0" w:firstRowFirstColumn="0" w:firstRowLastColumn="0" w:lastRowFirstColumn="0" w:lastRowLastColumn="0"/>
            </w:pPr>
            <w:r w:rsidRPr="007837C7">
              <w:t>Meetings eligible</w:t>
            </w:r>
          </w:p>
        </w:tc>
        <w:tc>
          <w:tcPr>
            <w:tcW w:w="1327" w:type="dxa"/>
            <w:vAlign w:val="top"/>
          </w:tcPr>
          <w:p w:rsidR="007837C7" w:rsidRPr="007837C7" w:rsidRDefault="007837C7" w:rsidP="007837C7">
            <w:pPr>
              <w:pStyle w:val="TableText"/>
              <w:jc w:val="center"/>
              <w:cnfStyle w:val="100000000000" w:firstRow="1" w:lastRow="0" w:firstColumn="0" w:lastColumn="0" w:oddVBand="0" w:evenVBand="0" w:oddHBand="0" w:evenHBand="0" w:firstRowFirstColumn="0" w:firstRowLastColumn="0" w:lastRowFirstColumn="0" w:lastRowLastColumn="0"/>
            </w:pPr>
            <w:r w:rsidRPr="007837C7">
              <w:t>Meetings attended</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Ian Gough</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Chair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Endocrinology/Surgery</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Alasdair MacDonald</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Deputy Chair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Internal Medicine</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Gerard Carroll</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 xml:space="preserve">Cardiology/Rural </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Peter Macdonald</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Transplantation</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1</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A/Prof. Paul Varghese</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Geriatrics/Rehabilitation</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Bernard Whitfield</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Ear Nose and Throat Surgery/Injuries/Trauma</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 xml:space="preserve">Prof. John Turnidge </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Infectious Disease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1</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Philip Hoyle</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 xml:space="preserve">Administration </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A/Prof. Louis Irving</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Respiratory/ Indigenous Health</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2</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A/Prof. Daryl Williams</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Anaesthesia and Pain Management</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2</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Leon Flicker</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Geriatrics/Indigenous Health</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W/Prof. Fiona Wood</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Burns</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0</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Amanda Ling</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Administration</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2</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A/Prof. Liza Heslop</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Nursing/Pregnancy and Childbirth</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Mr Graham J Reynolds</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Paediatrics</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1</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Geoff Donnan</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Neurology</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Ray Lowenthal*</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Haematologist/Oncologist</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3</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2</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Ms Jan Erven</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Occupational Therapist</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6768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Prof. Sally Tracy</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Midwife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0</w:t>
            </w:r>
          </w:p>
        </w:tc>
      </w:tr>
      <w:tr w:rsidR="007837C7" w:rsidRPr="007837C7" w:rsidTr="00676870">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Ms Amber Roberts</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Pharmacist</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r>
      <w:tr w:rsidR="007837C7" w:rsidRPr="007837C7" w:rsidTr="006768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lastRenderedPageBreak/>
              <w:t>Ms Alison McMillan</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Chief Nurse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3</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Ruth Vine</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Psychiatrist</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3</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Ms Sue Davis</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Nurse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3</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Ms Julie Connell</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Allied Health Manager</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Dr Jo Wright</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Rural Medical Practice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3</w:t>
            </w:r>
          </w:p>
        </w:tc>
      </w:tr>
      <w:tr w:rsidR="007837C7" w:rsidRPr="007837C7" w:rsidTr="007837C7">
        <w:trPr>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A/Prof. Melinda Truesdale</w:t>
            </w:r>
          </w:p>
        </w:tc>
        <w:tc>
          <w:tcPr>
            <w:tcW w:w="1417"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7837C7">
              <w:t>Emergency Medicine</w:t>
            </w:r>
          </w:p>
        </w:tc>
        <w:tc>
          <w:tcPr>
            <w:tcW w:w="1326"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007837C7">
              <w:t>2</w:t>
            </w:r>
          </w:p>
        </w:tc>
      </w:tr>
      <w:tr w:rsidR="007837C7" w:rsidRPr="007837C7" w:rsidTr="007837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Pr>
          <w:p w:rsidR="007837C7" w:rsidRPr="007837C7" w:rsidRDefault="007837C7" w:rsidP="007837C7">
            <w:pPr>
              <w:pStyle w:val="TableText"/>
              <w:spacing w:before="120" w:after="120"/>
            </w:pPr>
            <w:r w:rsidRPr="007837C7">
              <w:t xml:space="preserve">Dr Amod Karnik </w:t>
            </w:r>
          </w:p>
        </w:tc>
        <w:tc>
          <w:tcPr>
            <w:tcW w:w="1417"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Member</w:t>
            </w:r>
          </w:p>
        </w:tc>
        <w:tc>
          <w:tcPr>
            <w:tcW w:w="3261" w:type="dxa"/>
          </w:tcPr>
          <w:p w:rsidR="007837C7" w:rsidRPr="007837C7" w:rsidRDefault="007837C7" w:rsidP="007837C7">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07837C7">
              <w:t>Intensive Care Medicine</w:t>
            </w:r>
          </w:p>
        </w:tc>
        <w:tc>
          <w:tcPr>
            <w:tcW w:w="1326"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4</w:t>
            </w:r>
          </w:p>
        </w:tc>
        <w:tc>
          <w:tcPr>
            <w:tcW w:w="1327" w:type="dxa"/>
          </w:tcPr>
          <w:p w:rsidR="007837C7" w:rsidRPr="007837C7" w:rsidRDefault="007837C7" w:rsidP="007837C7">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rsidRPr="007837C7">
              <w:t>2</w:t>
            </w:r>
          </w:p>
        </w:tc>
      </w:tr>
    </w:tbl>
    <w:p w:rsidR="00065022" w:rsidRDefault="007837C7" w:rsidP="007837C7">
      <w:pPr>
        <w:pStyle w:val="SourceNotesText"/>
        <w:spacing w:before="240"/>
        <w:ind w:right="-851"/>
      </w:pPr>
      <w:r w:rsidRPr="007837C7">
        <w:t>*Prof. Ray Lowenthal resigned from the IHPA Clinical Advisory Committee effective 1 April 2015.</w:t>
      </w:r>
    </w:p>
    <w:p w:rsidR="00065022" w:rsidRDefault="00065022" w:rsidP="00065022">
      <w:r>
        <w:br w:type="page"/>
      </w:r>
    </w:p>
    <w:p w:rsidR="0044547D" w:rsidRDefault="0044547D" w:rsidP="0044547D">
      <w:pPr>
        <w:pStyle w:val="Heading2"/>
      </w:pPr>
      <w:r>
        <w:lastRenderedPageBreak/>
        <w:t>The year in review</w:t>
      </w:r>
    </w:p>
    <w:p w:rsidR="00065022" w:rsidRDefault="0044547D" w:rsidP="00F857D1">
      <w:pPr>
        <w:pStyle w:val="Intro"/>
      </w:pPr>
      <w:r>
        <w:t>In 2014–15 the Clinical Advisory Committee (CAC) supported IHPA’s Work Program to deliver the following key achievements:</w:t>
      </w:r>
    </w:p>
    <w:p w:rsidR="0044547D" w:rsidRPr="0044547D" w:rsidRDefault="0044547D" w:rsidP="0044547D">
      <w:pPr>
        <w:pStyle w:val="Heading3"/>
        <w:rPr>
          <w:lang w:val="en-GB"/>
        </w:rPr>
      </w:pPr>
      <w:r>
        <w:rPr>
          <w:lang w:val="en-GB"/>
        </w:rPr>
        <w:t>Contributed</w:t>
      </w:r>
    </w:p>
    <w:p w:rsidR="0044547D" w:rsidRPr="0044547D" w:rsidRDefault="0044547D" w:rsidP="0044547D">
      <w:pPr>
        <w:rPr>
          <w:bCs/>
          <w:lang w:val="en-GB"/>
        </w:rPr>
      </w:pPr>
      <w:r w:rsidRPr="0044547D">
        <w:rPr>
          <w:bCs/>
          <w:lang w:val="en-GB"/>
        </w:rPr>
        <w:t xml:space="preserve">To the development of the </w:t>
      </w:r>
      <w:r w:rsidRPr="0044547D">
        <w:rPr>
          <w:i/>
          <w:iCs/>
          <w:lang w:val="en-GB"/>
        </w:rPr>
        <w:t>Pricing Framework for Australian Public Hospital Services 2015–16</w:t>
      </w:r>
      <w:r w:rsidRPr="0044547D">
        <w:rPr>
          <w:bCs/>
          <w:lang w:val="en-GB"/>
        </w:rPr>
        <w:t xml:space="preserve"> by providing clinical advice on complex areas such as bundling pricing for care such as dialysis treatments that take place in the home.</w:t>
      </w:r>
    </w:p>
    <w:p w:rsidR="0044547D" w:rsidRPr="0044547D" w:rsidRDefault="00A20576" w:rsidP="00A20576">
      <w:pPr>
        <w:pStyle w:val="Heading3"/>
        <w:rPr>
          <w:lang w:val="en-GB"/>
        </w:rPr>
      </w:pPr>
      <w:r>
        <w:rPr>
          <w:lang w:val="en-GB"/>
        </w:rPr>
        <w:t>Informed</w:t>
      </w:r>
    </w:p>
    <w:p w:rsidR="0044547D" w:rsidRPr="0044547D" w:rsidRDefault="0044547D" w:rsidP="0044547D">
      <w:pPr>
        <w:rPr>
          <w:bCs/>
          <w:lang w:val="en-GB"/>
        </w:rPr>
      </w:pPr>
      <w:r w:rsidRPr="0044547D">
        <w:rPr>
          <w:bCs/>
          <w:lang w:val="en-GB"/>
        </w:rPr>
        <w:t>National Efficient Price (NEP) 2015–16 and the National Efficient Cost (NEC) 2015–16 Determinations.</w:t>
      </w:r>
    </w:p>
    <w:p w:rsidR="0044547D" w:rsidRPr="0044547D" w:rsidRDefault="0044547D" w:rsidP="0044547D">
      <w:pPr>
        <w:pStyle w:val="Heading3"/>
        <w:rPr>
          <w:lang w:val="en-GB"/>
        </w:rPr>
      </w:pPr>
      <w:r>
        <w:rPr>
          <w:lang w:val="en-GB"/>
        </w:rPr>
        <w:t>Consulted</w:t>
      </w:r>
    </w:p>
    <w:p w:rsidR="0044547D" w:rsidRPr="0044547D" w:rsidRDefault="0044547D" w:rsidP="0044547D">
      <w:pPr>
        <w:rPr>
          <w:bCs/>
          <w:lang w:val="en-GB"/>
        </w:rPr>
      </w:pPr>
      <w:r w:rsidRPr="0044547D">
        <w:rPr>
          <w:bCs/>
          <w:lang w:val="en-GB"/>
        </w:rPr>
        <w:t xml:space="preserve">On the development of the Australian Mental Health Care Classification and the costing study for Teaching, Training and Research. </w:t>
      </w:r>
    </w:p>
    <w:p w:rsidR="0044547D" w:rsidRPr="0044547D" w:rsidRDefault="0044547D" w:rsidP="0044547D">
      <w:pPr>
        <w:pStyle w:val="Heading3"/>
        <w:rPr>
          <w:lang w:val="en-GB"/>
        </w:rPr>
      </w:pPr>
      <w:r>
        <w:rPr>
          <w:lang w:val="en-GB"/>
        </w:rPr>
        <w:t>Reviewed</w:t>
      </w:r>
    </w:p>
    <w:p w:rsidR="0044547D" w:rsidRPr="0044547D" w:rsidRDefault="0044547D" w:rsidP="0044547D">
      <w:pPr>
        <w:rPr>
          <w:bCs/>
          <w:lang w:val="en-GB"/>
        </w:rPr>
      </w:pPr>
      <w:r w:rsidRPr="0044547D">
        <w:rPr>
          <w:bCs/>
          <w:lang w:val="en-GB"/>
        </w:rPr>
        <w:t xml:space="preserve">And commented on the framework for the ABF Evaluation project. </w:t>
      </w:r>
    </w:p>
    <w:p w:rsidR="0044547D" w:rsidRPr="0044547D" w:rsidRDefault="0044547D" w:rsidP="0044547D">
      <w:pPr>
        <w:pStyle w:val="Heading3"/>
        <w:rPr>
          <w:lang w:val="en-GB"/>
        </w:rPr>
      </w:pPr>
      <w:r>
        <w:rPr>
          <w:lang w:val="en-GB"/>
        </w:rPr>
        <w:t>Advised</w:t>
      </w:r>
    </w:p>
    <w:p w:rsidR="0044547D" w:rsidRPr="0044547D" w:rsidRDefault="0044547D" w:rsidP="0044547D">
      <w:pPr>
        <w:rPr>
          <w:bCs/>
          <w:lang w:val="en-GB"/>
        </w:rPr>
      </w:pPr>
      <w:r w:rsidRPr="0044547D">
        <w:rPr>
          <w:bCs/>
          <w:lang w:val="en-GB"/>
        </w:rPr>
        <w:t>On the development of the Australian National Subacute and Non-Acute Patient (AN</w:t>
      </w:r>
      <w:r w:rsidRPr="0044547D">
        <w:rPr>
          <w:bCs/>
          <w:lang w:val="en-GB"/>
        </w:rPr>
        <w:noBreakHyphen/>
        <w:t>SNAP) classification version 4.0.</w:t>
      </w:r>
    </w:p>
    <w:p w:rsidR="0044547D" w:rsidRPr="0044547D" w:rsidRDefault="0044547D" w:rsidP="0044547D">
      <w:pPr>
        <w:pStyle w:val="Heading3"/>
        <w:rPr>
          <w:lang w:val="en-GB"/>
        </w:rPr>
      </w:pPr>
      <w:r>
        <w:rPr>
          <w:lang w:val="en-GB"/>
        </w:rPr>
        <w:t>Provided</w:t>
      </w:r>
    </w:p>
    <w:p w:rsidR="0044547D" w:rsidRPr="0044547D" w:rsidRDefault="0044547D" w:rsidP="0044547D">
      <w:pPr>
        <w:rPr>
          <w:bCs/>
          <w:lang w:val="en-GB"/>
        </w:rPr>
      </w:pPr>
      <w:r w:rsidRPr="0044547D">
        <w:rPr>
          <w:bCs/>
          <w:lang w:val="en-GB"/>
        </w:rPr>
        <w:t>Input into the development of Australian Refined Diagnosis Related Group (AR-DRG) version 8.0 and International Statistical Classification of Diseases and Related Health Problems, Tenth Revision, Australian Modification (ICD</w:t>
      </w:r>
      <w:r w:rsidRPr="0044547D">
        <w:rPr>
          <w:bCs/>
          <w:lang w:val="en-GB"/>
        </w:rPr>
        <w:noBreakHyphen/>
        <w:t>10-AM) 10th edition for acute admitted care.</w:t>
      </w:r>
    </w:p>
    <w:p w:rsidR="0044547D" w:rsidRPr="0044547D" w:rsidRDefault="0044547D" w:rsidP="0044547D">
      <w:pPr>
        <w:pStyle w:val="Heading3"/>
        <w:rPr>
          <w:lang w:val="en-GB"/>
        </w:rPr>
      </w:pPr>
      <w:r>
        <w:rPr>
          <w:lang w:val="en-GB"/>
        </w:rPr>
        <w:t>Assessed</w:t>
      </w:r>
    </w:p>
    <w:p w:rsidR="0044547D" w:rsidRPr="0044547D" w:rsidRDefault="0044547D" w:rsidP="0044547D">
      <w:pPr>
        <w:rPr>
          <w:bCs/>
          <w:lang w:val="en-GB"/>
        </w:rPr>
      </w:pPr>
      <w:r w:rsidRPr="0044547D">
        <w:rPr>
          <w:bCs/>
          <w:lang w:val="en-GB"/>
        </w:rPr>
        <w:t>Impact of new technology on hospital service delivery for future polic</w:t>
      </w:r>
      <w:r>
        <w:rPr>
          <w:bCs/>
          <w:lang w:val="en-GB"/>
        </w:rPr>
        <w:t>y and pricing determinations.</w:t>
      </w:r>
    </w:p>
    <w:p w:rsidR="0044547D" w:rsidRPr="0044547D" w:rsidRDefault="0044547D" w:rsidP="0044547D">
      <w:pPr>
        <w:pStyle w:val="Heading3"/>
        <w:rPr>
          <w:lang w:val="en-GB"/>
        </w:rPr>
      </w:pPr>
      <w:r>
        <w:rPr>
          <w:lang w:val="en-GB"/>
        </w:rPr>
        <w:t>Involvement</w:t>
      </w:r>
    </w:p>
    <w:p w:rsidR="0044547D" w:rsidRPr="0044547D" w:rsidRDefault="0044547D" w:rsidP="0044547D">
      <w:pPr>
        <w:rPr>
          <w:bCs/>
          <w:lang w:val="en-GB"/>
        </w:rPr>
      </w:pPr>
      <w:r w:rsidRPr="0044547D">
        <w:rPr>
          <w:bCs/>
          <w:lang w:val="en-GB"/>
        </w:rPr>
        <w:t>In the joint working party with the Australian Commission on Safety and Quality in Health Care to develop indicators between the role of ABF data and quality.</w:t>
      </w:r>
    </w:p>
    <w:p w:rsidR="0044547D" w:rsidRDefault="0044547D" w:rsidP="0044547D">
      <w:r>
        <w:br w:type="page"/>
      </w:r>
    </w:p>
    <w:p w:rsidR="0044547D" w:rsidRPr="0044547D" w:rsidRDefault="0044547D" w:rsidP="0044547D">
      <w:pPr>
        <w:pStyle w:val="Heading2"/>
        <w:rPr>
          <w:lang w:val="en-GB"/>
        </w:rPr>
      </w:pPr>
      <w:r w:rsidRPr="0044547D">
        <w:rPr>
          <w:lang w:val="en-GB"/>
        </w:rPr>
        <w:lastRenderedPageBreak/>
        <w:t xml:space="preserve">The year </w:t>
      </w:r>
      <w:r>
        <w:rPr>
          <w:lang w:val="en-GB"/>
        </w:rPr>
        <w:br/>
      </w:r>
      <w:r w:rsidRPr="0044547D">
        <w:rPr>
          <w:lang w:val="en-GB"/>
        </w:rPr>
        <w:t>ahead</w:t>
      </w:r>
    </w:p>
    <w:p w:rsidR="0044547D" w:rsidRPr="0044547D" w:rsidRDefault="0044547D" w:rsidP="00F857D1">
      <w:pPr>
        <w:pStyle w:val="Intro"/>
        <w:rPr>
          <w:lang w:val="en-GB"/>
        </w:rPr>
      </w:pPr>
      <w:r w:rsidRPr="0044547D">
        <w:rPr>
          <w:lang w:val="en-GB"/>
        </w:rPr>
        <w:t xml:space="preserve">In the next financial year the CAC will build on its achievements and provide input into the following projects: </w:t>
      </w:r>
    </w:p>
    <w:p w:rsidR="0044547D" w:rsidRPr="0044547D" w:rsidRDefault="0044547D" w:rsidP="0044547D">
      <w:pPr>
        <w:pStyle w:val="ListBullet"/>
        <w:rPr>
          <w:lang w:val="en-GB"/>
        </w:rPr>
      </w:pPr>
      <w:r w:rsidRPr="0044547D">
        <w:rPr>
          <w:lang w:val="en-GB"/>
        </w:rPr>
        <w:t xml:space="preserve">Continue to advise IHPA on its Work Program for 2015–16 by assisting with the development of the </w:t>
      </w:r>
      <w:r w:rsidRPr="0044547D">
        <w:rPr>
          <w:i/>
          <w:iCs/>
          <w:lang w:val="en-GB"/>
        </w:rPr>
        <w:t>Pricing Framework for Australia Public Hospital Services 2016–17</w:t>
      </w:r>
      <w:r w:rsidRPr="0044547D">
        <w:rPr>
          <w:lang w:val="en-GB"/>
        </w:rPr>
        <w:t xml:space="preserve"> and IHPA’s determination of the NEP and NEC for 2016–17.</w:t>
      </w:r>
    </w:p>
    <w:p w:rsidR="0044547D" w:rsidRPr="0044547D" w:rsidRDefault="0044547D" w:rsidP="0044547D">
      <w:pPr>
        <w:pStyle w:val="ListBullet"/>
        <w:rPr>
          <w:lang w:val="en-GB"/>
        </w:rPr>
      </w:pPr>
      <w:r w:rsidRPr="0044547D">
        <w:rPr>
          <w:lang w:val="en-GB"/>
        </w:rPr>
        <w:t>Advise on the further development of national classification systems for Teaching, Training and Research (TTR) and mental health care.</w:t>
      </w:r>
    </w:p>
    <w:p w:rsidR="0044547D" w:rsidRPr="0044547D" w:rsidRDefault="0044547D" w:rsidP="0044547D">
      <w:pPr>
        <w:pStyle w:val="ListBullet"/>
        <w:rPr>
          <w:lang w:val="en-GB"/>
        </w:rPr>
      </w:pPr>
      <w:r w:rsidRPr="0044547D">
        <w:rPr>
          <w:lang w:val="en-GB"/>
        </w:rPr>
        <w:t>Evaluate the proposed approach for a new classification system for emergency care services.</w:t>
      </w:r>
    </w:p>
    <w:p w:rsidR="0044547D" w:rsidRPr="0044547D" w:rsidRDefault="0044547D" w:rsidP="0044547D">
      <w:pPr>
        <w:pStyle w:val="ListBullet"/>
        <w:rPr>
          <w:lang w:val="en-GB"/>
        </w:rPr>
      </w:pPr>
      <w:r w:rsidRPr="0044547D">
        <w:rPr>
          <w:lang w:val="en-GB"/>
        </w:rPr>
        <w:t>Assist with the development work on International Statistical Classification of Diseases and Related Health Problems, Tenth Revision, Australian Modification (ICD-10-AM) Tenth edition for admitted acute care.</w:t>
      </w:r>
    </w:p>
    <w:p w:rsidR="0044547D" w:rsidRPr="0044547D" w:rsidRDefault="0044547D" w:rsidP="0044547D">
      <w:pPr>
        <w:pStyle w:val="ListBullet"/>
        <w:rPr>
          <w:lang w:val="en-GB"/>
        </w:rPr>
      </w:pPr>
      <w:r w:rsidRPr="0044547D">
        <w:rPr>
          <w:lang w:val="en-GB"/>
        </w:rPr>
        <w:t>Continue to assist in the evaluation of the implementation of ABF in Australia.</w:t>
      </w:r>
    </w:p>
    <w:p w:rsidR="0044547D" w:rsidRPr="0044547D" w:rsidRDefault="0044547D" w:rsidP="0044547D">
      <w:pPr>
        <w:pStyle w:val="ListBullet"/>
        <w:rPr>
          <w:lang w:val="en-GB"/>
        </w:rPr>
      </w:pPr>
      <w:r w:rsidRPr="0044547D">
        <w:rPr>
          <w:lang w:val="en-GB"/>
        </w:rPr>
        <w:t xml:space="preserve">Continue to assess the impact of new technology on hospital service delivery on future policy and pricing determinations. </w:t>
      </w:r>
    </w:p>
    <w:p w:rsidR="0044547D" w:rsidRPr="0044547D" w:rsidRDefault="0044547D" w:rsidP="0044547D">
      <w:pPr>
        <w:pStyle w:val="ListBullet"/>
        <w:rPr>
          <w:lang w:val="en-GB"/>
        </w:rPr>
      </w:pPr>
      <w:r w:rsidRPr="0044547D">
        <w:rPr>
          <w:lang w:val="en-GB"/>
        </w:rPr>
        <w:t xml:space="preserve">Investigate options for bundled pricing across care settings for future years. </w:t>
      </w:r>
    </w:p>
    <w:p w:rsidR="0044547D" w:rsidRPr="0044547D" w:rsidRDefault="0044547D" w:rsidP="0044547D">
      <w:pPr>
        <w:pStyle w:val="ListBullet"/>
        <w:rPr>
          <w:lang w:val="en-GB"/>
        </w:rPr>
      </w:pPr>
      <w:r w:rsidRPr="0044547D">
        <w:rPr>
          <w:lang w:val="en-GB"/>
        </w:rPr>
        <w:t>Provide clinical advice on IHPA’s approach to best practice pricing for hip fracture care in future years.</w:t>
      </w:r>
    </w:p>
    <w:p w:rsidR="0044547D" w:rsidRPr="0044547D" w:rsidRDefault="0044547D" w:rsidP="0044547D">
      <w:pPr>
        <w:pStyle w:val="ListBullet"/>
        <w:rPr>
          <w:lang w:val="en-GB"/>
        </w:rPr>
      </w:pPr>
      <w:r w:rsidRPr="0044547D">
        <w:rPr>
          <w:lang w:val="en-GB"/>
        </w:rPr>
        <w:t>Contribute to IHPA’s specialist groups including the joint working party Australian Commission on Safety and Quality in Health Care.</w:t>
      </w:r>
    </w:p>
    <w:p w:rsidR="00487885" w:rsidRDefault="00487885" w:rsidP="0044547D">
      <w:r>
        <w:br w:type="page"/>
      </w:r>
    </w:p>
    <w:p w:rsidR="00487885" w:rsidRDefault="00487885" w:rsidP="00487885">
      <w:pPr>
        <w:pStyle w:val="Heading1"/>
      </w:pPr>
      <w:bookmarkStart w:id="7" w:name="_Toc432437397"/>
      <w:r w:rsidRPr="00487885">
        <w:rPr>
          <w:caps w:val="0"/>
          <w:color w:val="FFFFFF" w:themeColor="background1"/>
          <w:sz w:val="32"/>
          <w:szCs w:val="32"/>
        </w:rPr>
        <w:lastRenderedPageBreak/>
        <w:t>Chapter 3</w:t>
      </w:r>
      <w:r>
        <w:rPr>
          <w:caps w:val="0"/>
          <w:color w:val="FFFFFF" w:themeColor="background1"/>
          <w:sz w:val="32"/>
          <w:szCs w:val="32"/>
        </w:rPr>
        <w:br/>
      </w:r>
      <w:r>
        <w:rPr>
          <w:color w:val="FFFFFF" w:themeColor="background1"/>
        </w:rPr>
        <w:t>Performance</w:t>
      </w:r>
      <w:r>
        <w:rPr>
          <w:color w:val="FFFFFF" w:themeColor="background1"/>
        </w:rPr>
        <w:br/>
      </w:r>
      <w:r w:rsidRPr="00487885">
        <w:rPr>
          <w:color w:val="FFFFFF" w:themeColor="background1"/>
        </w:rPr>
        <w:t>Reporting</w:t>
      </w:r>
      <w:r w:rsidRPr="00142D10">
        <w:rPr>
          <w:noProof/>
          <w:color w:val="FFFFFF" w:themeColor="background1"/>
          <w:sz w:val="32"/>
          <w:szCs w:val="32"/>
        </w:rPr>
        <w:drawing>
          <wp:anchor distT="0" distB="0" distL="114300" distR="114300" simplePos="0" relativeHeight="251657216" behindDoc="1" locked="0" layoutInCell="0" allowOverlap="1" wp14:anchorId="4CCED73A" wp14:editId="3623B066">
            <wp:simplePos x="0" y="0"/>
            <wp:positionH relativeFrom="page">
              <wp:align>left</wp:align>
            </wp:positionH>
            <wp:positionV relativeFrom="page">
              <wp:align>top</wp:align>
            </wp:positionV>
            <wp:extent cx="7560000" cy="106920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7"/>
      <w:r>
        <w:br w:type="page"/>
      </w:r>
    </w:p>
    <w:p w:rsidR="00382718" w:rsidRPr="00382718" w:rsidRDefault="00382718" w:rsidP="00382718">
      <w:pPr>
        <w:pStyle w:val="Heading2"/>
        <w:rPr>
          <w:lang w:val="en-GB"/>
        </w:rPr>
      </w:pPr>
      <w:r w:rsidRPr="00382718">
        <w:rPr>
          <w:lang w:val="en-GB"/>
        </w:rPr>
        <w:lastRenderedPageBreak/>
        <w:t xml:space="preserve">Outcomes and planned performance </w:t>
      </w:r>
    </w:p>
    <w:p w:rsidR="00382718" w:rsidRPr="00382718" w:rsidRDefault="00382718" w:rsidP="00382718">
      <w:pPr>
        <w:pStyle w:val="Intro"/>
        <w:rPr>
          <w:lang w:val="en-GB"/>
        </w:rPr>
      </w:pPr>
      <w:r w:rsidRPr="00382718">
        <w:rPr>
          <w:lang w:val="en-GB"/>
        </w:rPr>
        <w:t xml:space="preserve">This section discusses the main activities of the Independent Hospital Pricing Authority (IHPA) and reports on performance against specific targets set out in the Portfolio Budget Statements (PBS) for 2014–15. </w:t>
      </w:r>
    </w:p>
    <w:p w:rsidR="00382718" w:rsidRPr="00382718" w:rsidRDefault="00382718" w:rsidP="00382718">
      <w:pPr>
        <w:rPr>
          <w:lang w:val="en-GB"/>
        </w:rPr>
      </w:pPr>
      <w:r w:rsidRPr="00382718">
        <w:rPr>
          <w:lang w:val="en-GB"/>
        </w:rPr>
        <w:t>The Australian Government requires agencies to measure their performance in terms of outcomes. The outcome expected from IHPA’s work in 2014–15 was:</w:t>
      </w:r>
    </w:p>
    <w:p w:rsidR="00382718" w:rsidRPr="00382718" w:rsidRDefault="00382718" w:rsidP="00382718">
      <w:pPr>
        <w:ind w:left="284"/>
        <w:rPr>
          <w:rStyle w:val="Emphasis"/>
        </w:rPr>
      </w:pPr>
      <w:r w:rsidRPr="00382718">
        <w:rPr>
          <w:rStyle w:val="Emphasis"/>
        </w:rPr>
        <w:t>Promote improved efficiency in, and access to, public hospital services primarily through setting efficient national prices and levels of block funding for hospital activities.</w:t>
      </w:r>
    </w:p>
    <w:p w:rsidR="00382718" w:rsidRPr="00382718" w:rsidRDefault="00382718" w:rsidP="00382718">
      <w:pPr>
        <w:rPr>
          <w:lang w:val="en-GB"/>
        </w:rPr>
      </w:pPr>
      <w:r w:rsidRPr="00382718">
        <w:rPr>
          <w:lang w:val="en-GB"/>
        </w:rPr>
        <w:t>IHPA’s outcome strategy states:</w:t>
      </w:r>
    </w:p>
    <w:p w:rsidR="00382718" w:rsidRPr="00382718" w:rsidRDefault="00382718" w:rsidP="00382718">
      <w:pPr>
        <w:ind w:left="284"/>
        <w:rPr>
          <w:rStyle w:val="Emphasis"/>
        </w:rPr>
      </w:pPr>
      <w:r w:rsidRPr="00382718">
        <w:rPr>
          <w:rStyle w:val="Emphasis"/>
        </w:rPr>
        <w:t>Improvements to the funding of the public hospital system are necessary to ensure the financial sustainability of public health services into the future. IHPA promotes improved efficiency in, and access to, public hospital services by providing independent advice to the Australian Government and state and territory Governments regarding the efficient cost of health care services, and by developing and implementing robust systems to support Activity Based Funding for those services.</w:t>
      </w:r>
    </w:p>
    <w:p w:rsidR="00382718" w:rsidRPr="00382718" w:rsidRDefault="00382718" w:rsidP="00382718">
      <w:pPr>
        <w:ind w:left="284"/>
        <w:rPr>
          <w:rStyle w:val="Emphasis"/>
        </w:rPr>
      </w:pPr>
      <w:r w:rsidRPr="00382718">
        <w:rPr>
          <w:rStyle w:val="Emphasis"/>
        </w:rPr>
        <w:t>At arm’s length from all Governments, IHPA is the Commonwealth agency responsible for setting the NEP and the NEC for public hospital services. This then determines the Commonwealth’s contribution to public hospital funding.</w:t>
      </w:r>
    </w:p>
    <w:p w:rsidR="00382718" w:rsidRPr="00382718" w:rsidRDefault="00382718" w:rsidP="00382718">
      <w:pPr>
        <w:ind w:left="284"/>
        <w:rPr>
          <w:rStyle w:val="Emphasis"/>
        </w:rPr>
      </w:pPr>
      <w:r w:rsidRPr="00382718">
        <w:rPr>
          <w:rStyle w:val="Emphasis"/>
        </w:rPr>
        <w:t>IHPA is also responsible for developing national classifications for health care and other services used in public hospitals and, as required, resolving disputes on costshifting and cross-border issues and providing advice and reports to the Australian Government and the public.</w:t>
      </w:r>
    </w:p>
    <w:p w:rsidR="00382718" w:rsidRPr="00382718" w:rsidRDefault="00382718" w:rsidP="00382718">
      <w:pPr>
        <w:ind w:left="284"/>
        <w:rPr>
          <w:rStyle w:val="Emphasis"/>
        </w:rPr>
      </w:pPr>
      <w:r w:rsidRPr="00382718">
        <w:rPr>
          <w:rStyle w:val="Emphasis"/>
        </w:rPr>
        <w:t>To improve transparency, IHPA publishes an annual Pricing Framework for Australian Public Hospital Services that outlines the principles, criteria and methodology used by IHPA to determine the NEP for services provided by hospitals on an activity basis and the NEC for services that are block funded.</w:t>
      </w:r>
    </w:p>
    <w:p w:rsidR="00382718" w:rsidRPr="00382718" w:rsidRDefault="00382718" w:rsidP="00382718">
      <w:pPr>
        <w:ind w:left="284"/>
        <w:rPr>
          <w:rStyle w:val="Emphasis"/>
        </w:rPr>
      </w:pPr>
      <w:r w:rsidRPr="00382718">
        <w:rPr>
          <w:rStyle w:val="Emphasis"/>
        </w:rPr>
        <w:t>From 2017-18 the Australian Government will introduce revised public hospital funding arrangements, to recognise states’ and territories’ responsibility for managing an efficient public hospital sector.</w:t>
      </w:r>
    </w:p>
    <w:p w:rsidR="00382718" w:rsidRPr="00382718" w:rsidRDefault="00382718" w:rsidP="00382718">
      <w:pPr>
        <w:ind w:left="284"/>
        <w:rPr>
          <w:rStyle w:val="Emphasis"/>
        </w:rPr>
      </w:pPr>
      <w:r w:rsidRPr="00382718">
        <w:rPr>
          <w:rStyle w:val="Emphasis"/>
        </w:rPr>
        <w:t>As prescribed in the National Health Reform Act 2011, the Clinical Advisory Committee, the Jurisdictional Advisory Committee and other advisory committees, will continue to advise on matters relating to the functions of IHPA. These committees will ensure that the underlying principles applied to setting the NEP and the NEC are both clinically relevant and technically appropriate.</w:t>
      </w:r>
    </w:p>
    <w:p w:rsidR="00382718" w:rsidRDefault="00382718" w:rsidP="00382718">
      <w:pPr>
        <w:rPr>
          <w:lang w:val="en-GB"/>
        </w:rPr>
      </w:pPr>
      <w:r>
        <w:rPr>
          <w:lang w:val="en-GB"/>
        </w:rPr>
        <w:br w:type="page"/>
      </w:r>
    </w:p>
    <w:p w:rsidR="00382718" w:rsidRPr="00382718" w:rsidRDefault="00382718" w:rsidP="00382718">
      <w:pPr>
        <w:rPr>
          <w:lang w:val="en-GB"/>
        </w:rPr>
      </w:pPr>
      <w:r w:rsidRPr="00382718">
        <w:rPr>
          <w:lang w:val="en-GB"/>
        </w:rPr>
        <w:lastRenderedPageBreak/>
        <w:t>The program attached to this outcome is Program 1.1: Public hospital price determinations.</w:t>
      </w:r>
    </w:p>
    <w:p w:rsidR="00382718" w:rsidRPr="00F943FE" w:rsidRDefault="00382718" w:rsidP="00F943FE">
      <w:r w:rsidRPr="00F943FE">
        <w:t>Program 1.1 defines IHPA’s four key program objectives:</w:t>
      </w:r>
    </w:p>
    <w:p w:rsidR="00382718" w:rsidRPr="00382718" w:rsidRDefault="00382718" w:rsidP="00382718">
      <w:pPr>
        <w:pStyle w:val="ListBullet"/>
        <w:rPr>
          <w:lang w:val="en-GB"/>
        </w:rPr>
      </w:pPr>
      <w:r w:rsidRPr="00382718">
        <w:rPr>
          <w:lang w:val="en-GB"/>
        </w:rPr>
        <w:t>Determine the National Efficient Price and National Efficient Cost for public hospital services.</w:t>
      </w:r>
    </w:p>
    <w:p w:rsidR="00382718" w:rsidRPr="00382718" w:rsidRDefault="00382718" w:rsidP="00382718">
      <w:pPr>
        <w:pStyle w:val="ListBullet"/>
        <w:rPr>
          <w:lang w:val="en-GB"/>
        </w:rPr>
      </w:pPr>
      <w:r w:rsidRPr="00382718">
        <w:rPr>
          <w:lang w:val="en-GB"/>
        </w:rPr>
        <w:t>Develop national classifications for Activity Based Funding.</w:t>
      </w:r>
    </w:p>
    <w:p w:rsidR="00382718" w:rsidRPr="00382718" w:rsidRDefault="00382718" w:rsidP="00382718">
      <w:pPr>
        <w:pStyle w:val="ListBullet"/>
        <w:rPr>
          <w:lang w:val="en-GB"/>
        </w:rPr>
      </w:pPr>
      <w:r w:rsidRPr="00382718">
        <w:rPr>
          <w:lang w:val="en-GB"/>
        </w:rPr>
        <w:t>Determine data requirements and data standards.</w:t>
      </w:r>
    </w:p>
    <w:p w:rsidR="00382718" w:rsidRPr="00382718" w:rsidRDefault="00382718" w:rsidP="00382718">
      <w:pPr>
        <w:pStyle w:val="ListBullet"/>
        <w:rPr>
          <w:lang w:val="en-GB"/>
        </w:rPr>
      </w:pPr>
      <w:r w:rsidRPr="00382718">
        <w:rPr>
          <w:lang w:val="en-GB"/>
        </w:rPr>
        <w:t>Resolve disputes on cost-shifting and cross-border issues.</w:t>
      </w:r>
    </w:p>
    <w:p w:rsidR="00382718" w:rsidRPr="00382718" w:rsidRDefault="00382718" w:rsidP="00382718">
      <w:pPr>
        <w:rPr>
          <w:lang w:val="en-GB"/>
        </w:rPr>
      </w:pPr>
      <w:r w:rsidRPr="00382718">
        <w:rPr>
          <w:lang w:val="en-GB"/>
        </w:rPr>
        <w:t xml:space="preserve">The full </w:t>
      </w:r>
      <w:r w:rsidRPr="00382718">
        <w:rPr>
          <w:i/>
          <w:iCs/>
          <w:lang w:val="en-GB"/>
        </w:rPr>
        <w:t>Portfolio Budget Statement for 2014–15</w:t>
      </w:r>
      <w:r w:rsidRPr="00382718">
        <w:rPr>
          <w:lang w:val="en-GB"/>
        </w:rPr>
        <w:t xml:space="preserve"> is available at </w:t>
      </w:r>
      <w:hyperlink r:id="rId27" w:history="1">
        <w:r w:rsidRPr="00382718">
          <w:rPr>
            <w:rStyle w:val="Hyperlink"/>
            <w:lang w:val="en-GB"/>
          </w:rPr>
          <w:t>http://www.health.gov.au/internet/budget/publishing.nsf/Content/2014-2015_Health_PBS</w:t>
        </w:r>
      </w:hyperlink>
      <w:r w:rsidRPr="00382718">
        <w:rPr>
          <w:lang w:val="en-GB"/>
        </w:rPr>
        <w:t xml:space="preserve"> </w:t>
      </w:r>
    </w:p>
    <w:p w:rsidR="00382718" w:rsidRPr="00382718" w:rsidRDefault="00382718" w:rsidP="00382718">
      <w:pPr>
        <w:rPr>
          <w:lang w:val="en-GB"/>
        </w:rPr>
      </w:pPr>
      <w:r w:rsidRPr="00382718">
        <w:rPr>
          <w:lang w:val="en-GB"/>
        </w:rPr>
        <w:t>Below is a summary of the work conducted by IHPA to meet the four objectives specified in Program 1.1.</w:t>
      </w:r>
    </w:p>
    <w:p w:rsidR="00382718" w:rsidRPr="00382718" w:rsidRDefault="00382718" w:rsidP="00093DD5">
      <w:pPr>
        <w:pStyle w:val="Heading3"/>
        <w:rPr>
          <w:lang w:val="en-GB"/>
        </w:rPr>
      </w:pPr>
      <w:r w:rsidRPr="00382718">
        <w:rPr>
          <w:lang w:val="en-GB"/>
        </w:rPr>
        <w:t>Determine the National Efficient Price and National Efficient Cost for public hospital services</w:t>
      </w:r>
    </w:p>
    <w:p w:rsidR="00382718" w:rsidRPr="00382718" w:rsidRDefault="00382718" w:rsidP="00382718">
      <w:pPr>
        <w:rPr>
          <w:lang w:val="en-GB"/>
        </w:rPr>
      </w:pPr>
      <w:r w:rsidRPr="00382718">
        <w:rPr>
          <w:lang w:val="en-GB"/>
        </w:rPr>
        <w:t xml:space="preserve">IHPA publishes an annual National Efficient Price (NEP) Determination for public hospital services for the coming financial year, along with other information supporting the efficient funding of public hospitals. This includes advice on the scope of public hospital services eligible for Australian Government funding (the General List), criteria for services to be funded by block grants (the National Efficient Cost) and adjustments to the price to reflect legitimate and unavoidable variations in the cost of delivering health care services. </w:t>
      </w:r>
    </w:p>
    <w:p w:rsidR="00382718" w:rsidRPr="00382718" w:rsidRDefault="00382718" w:rsidP="00382718">
      <w:pPr>
        <w:rPr>
          <w:lang w:val="en-GB"/>
        </w:rPr>
      </w:pPr>
      <w:r w:rsidRPr="00382718">
        <w:rPr>
          <w:lang w:val="en-GB"/>
        </w:rPr>
        <w:t>In designing the pricing model, IHPA must comply with the requirements of the National Health Reform Agreement (NHRA) in:</w:t>
      </w:r>
    </w:p>
    <w:p w:rsidR="00382718" w:rsidRPr="00382718" w:rsidRDefault="00382718" w:rsidP="00382718">
      <w:pPr>
        <w:pStyle w:val="ListBullet"/>
        <w:rPr>
          <w:lang w:val="en-GB"/>
        </w:rPr>
      </w:pPr>
      <w:r w:rsidRPr="00382718">
        <w:rPr>
          <w:lang w:val="en-GB"/>
        </w:rPr>
        <w:t>Ensuring reasonable access to public hospital services, clinical safety and quality, efficiency and effectiveness and financial sustainability of the public hospital system.</w:t>
      </w:r>
    </w:p>
    <w:p w:rsidR="00382718" w:rsidRPr="00382718" w:rsidRDefault="00382718" w:rsidP="00382718">
      <w:pPr>
        <w:pStyle w:val="ListBullet"/>
        <w:rPr>
          <w:lang w:val="en-GB"/>
        </w:rPr>
      </w:pPr>
      <w:r w:rsidRPr="00382718">
        <w:rPr>
          <w:lang w:val="en-GB"/>
        </w:rPr>
        <w:t>Considering the actual cost of delivery of public hospital services in as wide a range of hospitals as practicable.</w:t>
      </w:r>
    </w:p>
    <w:p w:rsidR="00382718" w:rsidRPr="00382718" w:rsidRDefault="00382718" w:rsidP="00382718">
      <w:pPr>
        <w:pStyle w:val="ListBullet"/>
        <w:rPr>
          <w:lang w:val="en-GB"/>
        </w:rPr>
      </w:pPr>
      <w:r w:rsidRPr="00382718">
        <w:rPr>
          <w:lang w:val="en-GB"/>
        </w:rPr>
        <w:t>Considering the expected changes in costs from year-to-year when making projections.</w:t>
      </w:r>
    </w:p>
    <w:p w:rsidR="00382718" w:rsidRPr="00382718" w:rsidRDefault="00382718" w:rsidP="00382718">
      <w:pPr>
        <w:rPr>
          <w:lang w:val="en-GB"/>
        </w:rPr>
      </w:pPr>
      <w:r w:rsidRPr="00382718">
        <w:rPr>
          <w:lang w:val="en-GB"/>
        </w:rPr>
        <w:t xml:space="preserve">During 2014–15, IHPA continued to improve the robustness of the price setting in consultation with stakeholders. This included the further development of the national pricing model to inform the determination of the NEP for the 2015–16 financial year. </w:t>
      </w:r>
    </w:p>
    <w:p w:rsidR="00382718" w:rsidRPr="00382718" w:rsidRDefault="00382718" w:rsidP="00382718">
      <w:pPr>
        <w:rPr>
          <w:lang w:val="en-GB"/>
        </w:rPr>
      </w:pPr>
      <w:r w:rsidRPr="00382718">
        <w:rPr>
          <w:lang w:val="en-GB"/>
        </w:rPr>
        <w:t>Another key achievement has been the improvements to the national cost model for block-funded hospitals, which informed the determination of the National Efficient Cost (NEC) for 2015–16.</w:t>
      </w:r>
    </w:p>
    <w:p w:rsidR="00382718" w:rsidRPr="00382718" w:rsidRDefault="00382718" w:rsidP="00382718">
      <w:pPr>
        <w:keepLines/>
        <w:rPr>
          <w:lang w:val="en-GB"/>
        </w:rPr>
      </w:pPr>
      <w:r w:rsidRPr="00382718">
        <w:rPr>
          <w:lang w:val="en-GB"/>
        </w:rPr>
        <w:t xml:space="preserve">Through the consultation processes of the Pricing Framework and stakeholder committees, IHPA further strengthened its policies relating to the NEP and NEC Determinations. This includes the review and update of the </w:t>
      </w:r>
      <w:r w:rsidRPr="00382718">
        <w:rPr>
          <w:i/>
          <w:iCs/>
          <w:lang w:val="en-GB"/>
        </w:rPr>
        <w:t>Annual Review of the General List Policy</w:t>
      </w:r>
      <w:r w:rsidRPr="00382718">
        <w:rPr>
          <w:lang w:val="en-GB"/>
        </w:rPr>
        <w:t>, providing guidance when a jurisdiction requests IHPA to consider services to be included or excluded from the General List.</w:t>
      </w:r>
    </w:p>
    <w:p w:rsidR="00382718" w:rsidRPr="00382718" w:rsidRDefault="00382718" w:rsidP="00382718">
      <w:pPr>
        <w:rPr>
          <w:lang w:val="en-GB"/>
        </w:rPr>
      </w:pPr>
      <w:r w:rsidRPr="00382718">
        <w:rPr>
          <w:lang w:val="en-GB"/>
        </w:rPr>
        <w:lastRenderedPageBreak/>
        <w:t xml:space="preserve">In 2014–15 IHPA reviewed the </w:t>
      </w:r>
      <w:r w:rsidRPr="00382718">
        <w:rPr>
          <w:i/>
          <w:iCs/>
          <w:lang w:val="en-GB"/>
        </w:rPr>
        <w:t>Assessment of Legitimate and Unavoidable Cost Variations Framework</w:t>
      </w:r>
      <w:r w:rsidRPr="00382718">
        <w:rPr>
          <w:lang w:val="en-GB"/>
        </w:rPr>
        <w:t xml:space="preserve"> to layout the process which IHPA will follow in assessing submissions from jurisdictions relating to claims of unavoidable cost difference in determining adjustments to the NEP.</w:t>
      </w:r>
    </w:p>
    <w:p w:rsidR="00382718" w:rsidRPr="00382718" w:rsidRDefault="00382718" w:rsidP="00093DD5">
      <w:pPr>
        <w:pStyle w:val="Heading3"/>
        <w:rPr>
          <w:lang w:val="en-GB"/>
        </w:rPr>
      </w:pPr>
      <w:r w:rsidRPr="00382718">
        <w:rPr>
          <w:lang w:val="en-GB"/>
        </w:rPr>
        <w:t>Develop national classifications for Activity Based Funding</w:t>
      </w:r>
    </w:p>
    <w:p w:rsidR="00382718" w:rsidRPr="00382718" w:rsidRDefault="00382718" w:rsidP="00382718">
      <w:pPr>
        <w:rPr>
          <w:lang w:val="en-GB"/>
        </w:rPr>
      </w:pPr>
      <w:r w:rsidRPr="00382718">
        <w:rPr>
          <w:lang w:val="en-GB"/>
        </w:rPr>
        <w:t>Activity Based Funding (ABF) requires robust classification systems to be able to describe the activity undertaken within a hospital. Classification systems enable clinical and demographic information that is written in medical charts or collected elsewhere to be converted into manageable data categories. Rules for collecting and coding clinical data need to be consistent across Australia to ensure that all states and territories are obtaining and providing information the same way. Effective clinical classification systems ensure that hospital data is grouped into appropriate classes, which in turn contributes to the determination of the National Efficient Price (NEP).</w:t>
      </w:r>
    </w:p>
    <w:p w:rsidR="00382718" w:rsidRPr="00382718" w:rsidRDefault="00382718" w:rsidP="00382718">
      <w:pPr>
        <w:rPr>
          <w:lang w:val="en-GB"/>
        </w:rPr>
      </w:pPr>
      <w:r w:rsidRPr="00382718">
        <w:rPr>
          <w:lang w:val="en-GB"/>
        </w:rPr>
        <w:t xml:space="preserve">This year IHPA continued to address the data burden on jurisdictions by working within the current national health data system and using existing data collections where possible. </w:t>
      </w:r>
    </w:p>
    <w:p w:rsidR="00382718" w:rsidRPr="00382718" w:rsidRDefault="00382718" w:rsidP="00382718">
      <w:pPr>
        <w:rPr>
          <w:lang w:val="en-GB"/>
        </w:rPr>
      </w:pPr>
      <w:r w:rsidRPr="00382718">
        <w:rPr>
          <w:lang w:val="en-GB"/>
        </w:rPr>
        <w:t>Work to develop and refine the Australian Refined Diagnosis Related Groups (AR-DRG) version 8.0 and International Statistical Classification of Diseases and Related Health Problems, Tenth Revision, Australian Modification (ICD-10-AM) 9th edition for admitted acute care was completed and approved by the Pricing Authority in November 2014.</w:t>
      </w:r>
    </w:p>
    <w:p w:rsidR="00382718" w:rsidRPr="00382718" w:rsidRDefault="00382718" w:rsidP="00382718">
      <w:pPr>
        <w:rPr>
          <w:lang w:val="en-GB"/>
        </w:rPr>
      </w:pPr>
      <w:r w:rsidRPr="00382718">
        <w:rPr>
          <w:lang w:val="en-GB"/>
        </w:rPr>
        <w:t xml:space="preserve">The development of AR-DRG version 8.0 included a major review of the existing case complexity process and the development of a new, evidence based methodology for determining case complexity within the classification. </w:t>
      </w:r>
    </w:p>
    <w:p w:rsidR="00382718" w:rsidRPr="00382718" w:rsidRDefault="00382718" w:rsidP="00382718">
      <w:pPr>
        <w:rPr>
          <w:lang w:val="en-GB"/>
        </w:rPr>
      </w:pPr>
      <w:r w:rsidRPr="00382718">
        <w:rPr>
          <w:lang w:val="en-GB"/>
        </w:rPr>
        <w:t>IHPA also licenses the AR-DRG classification system to other countries. As at 30 June 2015, 15 countries in Europe, Asia and the Middle East are licensed for the AR-DRG classification system.</w:t>
      </w:r>
    </w:p>
    <w:p w:rsidR="00382718" w:rsidRPr="00382718" w:rsidRDefault="00382718" w:rsidP="00382718">
      <w:pPr>
        <w:rPr>
          <w:lang w:val="en-GB"/>
        </w:rPr>
      </w:pPr>
      <w:r w:rsidRPr="00382718">
        <w:rPr>
          <w:lang w:val="en-GB"/>
        </w:rPr>
        <w:t xml:space="preserve">The Tier 2 non-admitted services classification underwent an annual review with updates made to the classification, as well as to the </w:t>
      </w:r>
      <w:r w:rsidRPr="00382718">
        <w:rPr>
          <w:i/>
          <w:iCs/>
          <w:lang w:val="en-GB"/>
        </w:rPr>
        <w:t>Non-admitted Services Definition Manual</w:t>
      </w:r>
      <w:r w:rsidRPr="00382718">
        <w:rPr>
          <w:lang w:val="en-GB"/>
        </w:rPr>
        <w:t xml:space="preserve"> and </w:t>
      </w:r>
      <w:r w:rsidRPr="00382718">
        <w:rPr>
          <w:i/>
          <w:iCs/>
          <w:lang w:val="en-GB"/>
        </w:rPr>
        <w:t>Non-admitted Services Compendium</w:t>
      </w:r>
      <w:r w:rsidRPr="00382718">
        <w:rPr>
          <w:lang w:val="en-GB"/>
        </w:rPr>
        <w:t>. A work program has commenced to develop a new non-admitted classification in a staged and manageable fashion. This work program commenced with the completion of the coding of diagnoses and procedure data that was collected as part of the Non-admitted and Subacute Care Costing Study. The coded data from this project will provide an extensive clinical and cost dataset on which to base the future classification.</w:t>
      </w:r>
    </w:p>
    <w:p w:rsidR="00382718" w:rsidRPr="00382718" w:rsidRDefault="00382718" w:rsidP="00382718">
      <w:pPr>
        <w:rPr>
          <w:lang w:val="en-GB"/>
        </w:rPr>
      </w:pPr>
      <w:r w:rsidRPr="00382718">
        <w:rPr>
          <w:lang w:val="en-GB"/>
        </w:rPr>
        <w:t xml:space="preserve">IHPA has commenced the project to develop a new classification system for emergency care services, which includes undertaking a live costing study to inform classification and data development. </w:t>
      </w:r>
    </w:p>
    <w:p w:rsidR="00382718" w:rsidRPr="00382718" w:rsidRDefault="00382718" w:rsidP="00382718">
      <w:pPr>
        <w:keepLines/>
        <w:rPr>
          <w:lang w:val="en-GB"/>
        </w:rPr>
      </w:pPr>
      <w:r w:rsidRPr="00382718">
        <w:rPr>
          <w:lang w:val="en-GB"/>
        </w:rPr>
        <w:t>IHPA commenced work on the development of a new mental health care classification system, by undertaking a mental health care costing study. This work has been informed by the key cost drivers associated with the delivery of mental health care.</w:t>
      </w:r>
    </w:p>
    <w:p w:rsidR="00382718" w:rsidRPr="00382718" w:rsidRDefault="00382718" w:rsidP="00382718">
      <w:pPr>
        <w:rPr>
          <w:lang w:val="en-GB"/>
        </w:rPr>
      </w:pPr>
      <w:r w:rsidRPr="00382718">
        <w:rPr>
          <w:lang w:val="en-GB"/>
        </w:rPr>
        <w:t>The Australian National Subacute and Non-Acute Patient (AN</w:t>
      </w:r>
      <w:r w:rsidRPr="00382718">
        <w:rPr>
          <w:lang w:val="en-GB"/>
        </w:rPr>
        <w:noBreakHyphen/>
        <w:t xml:space="preserve">SNAP) Classification underwent a significant review with updates made to all areas of </w:t>
      </w:r>
      <w:r w:rsidRPr="00382718">
        <w:rPr>
          <w:lang w:val="en-GB"/>
        </w:rPr>
        <w:lastRenderedPageBreak/>
        <w:t>the classification, resulting in the development of a new version. The fourth version of AN</w:t>
      </w:r>
      <w:r w:rsidRPr="00382718">
        <w:rPr>
          <w:lang w:val="en-GB"/>
        </w:rPr>
        <w:noBreakHyphen/>
        <w:t>SNAP is now available on the IHPA website.</w:t>
      </w:r>
    </w:p>
    <w:p w:rsidR="00382718" w:rsidRPr="00382718" w:rsidRDefault="00382718" w:rsidP="00382718">
      <w:pPr>
        <w:rPr>
          <w:lang w:val="en-GB"/>
        </w:rPr>
      </w:pPr>
      <w:r w:rsidRPr="00382718">
        <w:rPr>
          <w:lang w:val="en-GB"/>
        </w:rPr>
        <w:t xml:space="preserve">In December 2014, IHPA fulfilled its requirement under the National Health Reform Agreement to provide advice to the Council of Australian Governments Health Council (formerly known as the Standing Council on Health) on the feasibility of transitioning funding for Teaching, Training and Research (TTR) to ABF or other appropriate arrangements reflecting the volumes of activities carried out under these functions by no later than 30 June 2018. This advice stated that ABF is feasible for teaching and training and further work should be undertaken before determining the feasibility of ABF for research. IHPA also commenced a TTR costing study at a representative sample of Australian hospitals. The costing study will inform development of a TTR classification and includes six months of prospective activity and cost data collection. </w:t>
      </w:r>
    </w:p>
    <w:p w:rsidR="00382718" w:rsidRPr="00382718" w:rsidRDefault="00382718" w:rsidP="00F943FE">
      <w:pPr>
        <w:pStyle w:val="Heading3"/>
        <w:rPr>
          <w:lang w:val="en-GB"/>
        </w:rPr>
      </w:pPr>
      <w:r w:rsidRPr="00382718">
        <w:rPr>
          <w:lang w:val="en-GB"/>
        </w:rPr>
        <w:t>Determine data requirements and data standards</w:t>
      </w:r>
    </w:p>
    <w:p w:rsidR="00382718" w:rsidRPr="00382718" w:rsidRDefault="00382718" w:rsidP="00382718">
      <w:pPr>
        <w:rPr>
          <w:lang w:val="en-GB"/>
        </w:rPr>
      </w:pPr>
      <w:r w:rsidRPr="00382718">
        <w:rPr>
          <w:lang w:val="en-GB"/>
        </w:rPr>
        <w:t xml:space="preserve">Timely, accurate and reliable public hospital data is vital to both the development of classifications for hospital services and to determine the National Efficient Price (NEP) of those services. Recognising this, every year IHPA revises a rolling Three Year Data Plan to communicate the data requirements, data standards and timelines to the Australian Government, states and territories that IHPA will use to collect data over the coming three years. </w:t>
      </w:r>
    </w:p>
    <w:p w:rsidR="00382718" w:rsidRPr="00382718" w:rsidRDefault="00382718" w:rsidP="00382718">
      <w:pPr>
        <w:rPr>
          <w:lang w:val="en-GB"/>
        </w:rPr>
      </w:pPr>
      <w:r w:rsidRPr="00382718">
        <w:rPr>
          <w:lang w:val="en-GB"/>
        </w:rPr>
        <w:t>This year IHPA has continued to produce the data set specifications for the various data collections that IHPA relies on for ABF. This includes a secure data exchange infrastructure with online data validation tools for each data set collected from the jurisdictions.</w:t>
      </w:r>
    </w:p>
    <w:p w:rsidR="00382718" w:rsidRPr="00382718" w:rsidRDefault="00382718" w:rsidP="00382718">
      <w:pPr>
        <w:rPr>
          <w:lang w:val="en-GB"/>
        </w:rPr>
      </w:pPr>
      <w:r w:rsidRPr="00382718">
        <w:rPr>
          <w:lang w:val="en-GB"/>
        </w:rPr>
        <w:t xml:space="preserve">IHPA publishes data compliance reports as required under the National Health Reform Agreement on a six-monthly basis. The reports are available on the IHPA website at </w:t>
      </w:r>
      <w:hyperlink r:id="rId28" w:history="1">
        <w:r w:rsidRPr="00382718">
          <w:rPr>
            <w:rStyle w:val="Hyperlink"/>
            <w:lang w:val="en-GB"/>
          </w:rPr>
          <w:t>www.ihpa.gov.au</w:t>
        </w:r>
      </w:hyperlink>
      <w:r w:rsidRPr="00382718">
        <w:rPr>
          <w:lang w:val="en-GB"/>
        </w:rPr>
        <w:t>.</w:t>
      </w:r>
    </w:p>
    <w:p w:rsidR="00382718" w:rsidRPr="00382718" w:rsidRDefault="00382718" w:rsidP="00382718">
      <w:pPr>
        <w:rPr>
          <w:lang w:val="en-GB"/>
        </w:rPr>
      </w:pPr>
      <w:r w:rsidRPr="00382718">
        <w:rPr>
          <w:lang w:val="en-GB"/>
        </w:rPr>
        <w:t xml:space="preserve">Fundamental to the National Efficient Price (NEP) and the National Efficient Cost (NEC) Determinations is the data obtained through the NHCDC. IHPA is constantly focused on improving data quality to ensure that the NEP and NEC are robust, transparent and as accurate as possible. </w:t>
      </w:r>
    </w:p>
    <w:p w:rsidR="00382718" w:rsidRPr="00382718" w:rsidRDefault="00382718" w:rsidP="00382718">
      <w:pPr>
        <w:rPr>
          <w:lang w:val="en-GB"/>
        </w:rPr>
      </w:pPr>
      <w:r w:rsidRPr="00382718">
        <w:rPr>
          <w:lang w:val="en-GB"/>
        </w:rPr>
        <w:t xml:space="preserve">The NHCDC is a world class data collection and IHPA is continuing to make improvements to refine the collection further guided by recommendations in the </w:t>
      </w:r>
      <w:r w:rsidRPr="00382718">
        <w:rPr>
          <w:i/>
          <w:iCs/>
          <w:lang w:val="en-GB"/>
        </w:rPr>
        <w:t>NHCDC Strategic Review</w:t>
      </w:r>
      <w:r w:rsidRPr="00382718">
        <w:rPr>
          <w:lang w:val="en-GB"/>
        </w:rPr>
        <w:t xml:space="preserve">. </w:t>
      </w:r>
    </w:p>
    <w:p w:rsidR="00382718" w:rsidRPr="00382718" w:rsidRDefault="00382718" w:rsidP="00382718">
      <w:pPr>
        <w:rPr>
          <w:lang w:val="en-GB"/>
        </w:rPr>
      </w:pPr>
      <w:r w:rsidRPr="00382718">
        <w:rPr>
          <w:lang w:val="en-GB"/>
        </w:rPr>
        <w:t>In the next financial year, IHPA plans to enhance the existing secure data submission portal, including an online data quality assurance function. This will reduce the work required by jurisdictions in submitting data to IHPA while ensuring high quality data is provided.</w:t>
      </w:r>
    </w:p>
    <w:p w:rsidR="00382718" w:rsidRPr="00382718" w:rsidRDefault="00382718" w:rsidP="00382718">
      <w:pPr>
        <w:keepLines/>
        <w:rPr>
          <w:lang w:val="en-GB"/>
        </w:rPr>
      </w:pPr>
      <w:r w:rsidRPr="00382718">
        <w:rPr>
          <w:lang w:val="en-GB"/>
        </w:rPr>
        <w:t xml:space="preserve">IHPA will continue to refine the data specifications for future years, to ensure that IHPA has the data it needs to perform its roles. This will include the annual update to the </w:t>
      </w:r>
      <w:r w:rsidRPr="00382718">
        <w:rPr>
          <w:i/>
          <w:iCs/>
          <w:lang w:val="en-GB"/>
        </w:rPr>
        <w:t>Three Year Data Plan</w:t>
      </w:r>
      <w:r w:rsidRPr="00382718">
        <w:rPr>
          <w:lang w:val="en-GB"/>
        </w:rPr>
        <w:t>, to forecast IHPA’s data requirements for the coming three years.</w:t>
      </w:r>
    </w:p>
    <w:p w:rsidR="00382718" w:rsidRPr="00382718" w:rsidRDefault="00382718" w:rsidP="00F943FE">
      <w:pPr>
        <w:pStyle w:val="Heading3"/>
        <w:rPr>
          <w:lang w:val="en-GB"/>
        </w:rPr>
      </w:pPr>
      <w:r w:rsidRPr="00382718">
        <w:rPr>
          <w:lang w:val="en-GB"/>
        </w:rPr>
        <w:lastRenderedPageBreak/>
        <w:t>Resolve disputes on cost-shifting and cross</w:t>
      </w:r>
      <w:r w:rsidRPr="00382718">
        <w:rPr>
          <w:lang w:val="en-GB"/>
        </w:rPr>
        <w:noBreakHyphen/>
        <w:t>border issues</w:t>
      </w:r>
    </w:p>
    <w:p w:rsidR="00382718" w:rsidRPr="00382718" w:rsidRDefault="00382718" w:rsidP="00382718">
      <w:pPr>
        <w:rPr>
          <w:lang w:val="en-GB"/>
        </w:rPr>
      </w:pPr>
      <w:r w:rsidRPr="00382718">
        <w:rPr>
          <w:lang w:val="en-GB"/>
        </w:rPr>
        <w:t>IHPA has a role to investigate and make recommendations concerning cross-border disputes between states and territories, and to make assessments of cost-shifting disputes. Cross-border dispute recommendations are to be accepted and implemented by jurisdictions, whilst IHPA makes assessments of cost-shifting disputes.</w:t>
      </w:r>
    </w:p>
    <w:p w:rsidR="00382718" w:rsidRPr="00382718" w:rsidRDefault="00382718" w:rsidP="00382718">
      <w:pPr>
        <w:rPr>
          <w:lang w:val="en-GB"/>
        </w:rPr>
      </w:pPr>
      <w:r w:rsidRPr="00382718">
        <w:rPr>
          <w:lang w:val="en-GB"/>
        </w:rPr>
        <w:t>Where any Australian Government, state and or territory health minister considers that costs in relation to health care services are incorrectly attributable to a jurisdiction, the minister may request IHPA investigate the dispute. As soon as practicable, IHPA will give the health minister of the other jurisdiction a written invitation to provide a submission. A recommendation will be provided to the relevant jurisdictions following the completion of the investigation.</w:t>
      </w:r>
    </w:p>
    <w:p w:rsidR="00382718" w:rsidRPr="00382718" w:rsidRDefault="00382718" w:rsidP="00382718">
      <w:pPr>
        <w:rPr>
          <w:lang w:val="en-GB"/>
        </w:rPr>
      </w:pPr>
      <w:r w:rsidRPr="00382718">
        <w:rPr>
          <w:lang w:val="en-GB"/>
        </w:rPr>
        <w:t xml:space="preserve">This year IHPA has reviewed and published the </w:t>
      </w:r>
      <w:r w:rsidRPr="00382718">
        <w:rPr>
          <w:i/>
          <w:iCs/>
          <w:lang w:val="en-GB"/>
        </w:rPr>
        <w:t>Cost-shifting and Cross-border Dispute Resolution Framework</w:t>
      </w:r>
      <w:r w:rsidRPr="00382718">
        <w:rPr>
          <w:lang w:val="en-GB"/>
        </w:rPr>
        <w:t xml:space="preserve"> to guide processes to investigate cross-border and cost-shifting disputes and provide a timely process to investigate both cross-border and cost-shifting disputes should it receive a request from a health minister.</w:t>
      </w:r>
    </w:p>
    <w:p w:rsidR="00382718" w:rsidRPr="00382718" w:rsidRDefault="00382718" w:rsidP="00382718">
      <w:pPr>
        <w:rPr>
          <w:lang w:val="en-GB"/>
        </w:rPr>
      </w:pPr>
      <w:r w:rsidRPr="00382718">
        <w:rPr>
          <w:lang w:val="en-GB"/>
        </w:rPr>
        <w:t>In 2014–15, IHPA did not receive any requests relating to this function.</w:t>
      </w:r>
    </w:p>
    <w:p w:rsidR="00382718" w:rsidRPr="00382718" w:rsidRDefault="00382718" w:rsidP="00382718">
      <w:pPr>
        <w:rPr>
          <w:lang w:val="en-GB"/>
        </w:rPr>
      </w:pPr>
      <w:r w:rsidRPr="00382718">
        <w:rPr>
          <w:lang w:val="en-GB"/>
        </w:rPr>
        <w:t xml:space="preserve">The tables on the next page set out the qualitative deliverables and performance against key performance indicators for 2014–15. </w:t>
      </w:r>
    </w:p>
    <w:p w:rsidR="00382718" w:rsidRDefault="00382718" w:rsidP="00382718">
      <w:pPr>
        <w:rPr>
          <w:lang w:val="en-GB"/>
        </w:rPr>
      </w:pPr>
      <w:r w:rsidRPr="00382718">
        <w:rPr>
          <w:lang w:val="en-GB"/>
        </w:rPr>
        <w:t>IHPA’s financial statements can be found in Chapter 5 and Appendix B provides a summary table showing the total resources of the organisation and expenses by outcome.</w:t>
      </w:r>
      <w:r>
        <w:rPr>
          <w:lang w:val="en-GB"/>
        </w:rPr>
        <w:br w:type="page"/>
      </w:r>
    </w:p>
    <w:p w:rsidR="0044547D" w:rsidRDefault="00382718" w:rsidP="00382718">
      <w:pPr>
        <w:pStyle w:val="Heading3"/>
      </w:pPr>
      <w:r w:rsidRPr="00382718">
        <w:lastRenderedPageBreak/>
        <w:t>Qualitative Deliverables for Program 1.1</w:t>
      </w:r>
    </w:p>
    <w:p w:rsidR="00382718" w:rsidRDefault="00382718" w:rsidP="00382718">
      <w:pPr>
        <w:pStyle w:val="Heading4"/>
      </w:pPr>
      <w:r w:rsidRPr="00382718">
        <w:t>Determine the National Efficient Price (NEP) and National Efficient Cost (NEC) for public hospital services</w:t>
      </w:r>
    </w:p>
    <w:tbl>
      <w:tblPr>
        <w:tblStyle w:val="DefaultTable"/>
        <w:tblW w:w="9575" w:type="dxa"/>
        <w:tblLayout w:type="fixed"/>
        <w:tblLook w:val="0020" w:firstRow="1" w:lastRow="0" w:firstColumn="0" w:lastColumn="0" w:noHBand="0" w:noVBand="0"/>
        <w:tblDescription w:val="Determine the National Efficient Price (NEP) and National Efficient Cost (NEC) for public hospital services"/>
      </w:tblPr>
      <w:tblGrid>
        <w:gridCol w:w="3544"/>
        <w:gridCol w:w="4678"/>
        <w:gridCol w:w="1353"/>
      </w:tblGrid>
      <w:tr w:rsidR="00237C47" w:rsidRPr="00237C47" w:rsidTr="00237C47">
        <w:trPr>
          <w:cnfStyle w:val="100000000000" w:firstRow="1" w:lastRow="0" w:firstColumn="0" w:lastColumn="0" w:oddVBand="0" w:evenVBand="0" w:oddHBand="0" w:evenHBand="0" w:firstRowFirstColumn="0" w:firstRowLastColumn="0" w:lastRowFirstColumn="0" w:lastRowLastColumn="0"/>
          <w:trHeight w:val="340"/>
        </w:trPr>
        <w:tc>
          <w:tcPr>
            <w:tcW w:w="3544" w:type="dxa"/>
          </w:tcPr>
          <w:p w:rsidR="00237C47" w:rsidRPr="00237C47" w:rsidRDefault="00237C47" w:rsidP="00237C47">
            <w:pPr>
              <w:pStyle w:val="TableText"/>
              <w:rPr>
                <w:lang w:val="en-GB"/>
              </w:rPr>
            </w:pPr>
            <w:r w:rsidRPr="00237C47">
              <w:rPr>
                <w:lang w:val="en-GB"/>
              </w:rPr>
              <w:t>Deliverables</w:t>
            </w:r>
          </w:p>
        </w:tc>
        <w:tc>
          <w:tcPr>
            <w:tcW w:w="4678" w:type="dxa"/>
          </w:tcPr>
          <w:p w:rsidR="00237C47" w:rsidRPr="00237C47" w:rsidRDefault="00237C47" w:rsidP="00237C47">
            <w:pPr>
              <w:pStyle w:val="TableText"/>
              <w:rPr>
                <w:lang w:val="en-GB"/>
              </w:rPr>
            </w:pPr>
            <w:r w:rsidRPr="00237C47">
              <w:rPr>
                <w:lang w:val="en-GB"/>
              </w:rPr>
              <w:t>Target</w:t>
            </w:r>
          </w:p>
        </w:tc>
        <w:tc>
          <w:tcPr>
            <w:tcW w:w="1353" w:type="dxa"/>
          </w:tcPr>
          <w:p w:rsidR="00237C47" w:rsidRPr="00237C47" w:rsidRDefault="00237C47" w:rsidP="00237C47">
            <w:pPr>
              <w:pStyle w:val="TableText"/>
              <w:rPr>
                <w:lang w:val="en-GB"/>
              </w:rPr>
            </w:pPr>
            <w:r w:rsidRPr="00237C47">
              <w:rPr>
                <w:lang w:val="en-GB"/>
              </w:rPr>
              <w:t xml:space="preserve">Result </w:t>
            </w:r>
          </w:p>
        </w:tc>
      </w:tr>
      <w:tr w:rsidR="00237C47" w:rsidRPr="00237C47" w:rsidTr="00237C47">
        <w:trPr>
          <w:cnfStyle w:val="000000100000" w:firstRow="0" w:lastRow="0" w:firstColumn="0" w:lastColumn="0" w:oddVBand="0" w:evenVBand="0" w:oddHBand="1" w:evenHBand="0" w:firstRowFirstColumn="0" w:firstRowLastColumn="0" w:lastRowFirstColumn="0" w:lastRowLastColumn="0"/>
          <w:trHeight w:val="340"/>
        </w:trPr>
        <w:tc>
          <w:tcPr>
            <w:tcW w:w="3544" w:type="dxa"/>
          </w:tcPr>
          <w:p w:rsidR="00237C47" w:rsidRPr="00237C47" w:rsidRDefault="00237C47" w:rsidP="00237C47">
            <w:pPr>
              <w:pStyle w:val="TableText"/>
              <w:rPr>
                <w:lang w:val="en-GB"/>
              </w:rPr>
            </w:pPr>
            <w:r w:rsidRPr="00237C47">
              <w:rPr>
                <w:lang w:val="en-GB"/>
              </w:rPr>
              <w:t xml:space="preserve">Develop the </w:t>
            </w:r>
            <w:r w:rsidRPr="00237C47">
              <w:rPr>
                <w:i/>
                <w:iCs/>
                <w:lang w:val="en-GB"/>
              </w:rPr>
              <w:t>Pricing Framework for Australian Public Hospital Services</w:t>
            </w:r>
            <w:r w:rsidRPr="00237C47">
              <w:rPr>
                <w:lang w:val="en-GB"/>
              </w:rPr>
              <w:t xml:space="preserve"> for public hospital services in 2015–16 </w:t>
            </w:r>
          </w:p>
        </w:tc>
        <w:tc>
          <w:tcPr>
            <w:tcW w:w="4678" w:type="dxa"/>
          </w:tcPr>
          <w:p w:rsidR="00237C47" w:rsidRPr="00237C47" w:rsidRDefault="00237C47" w:rsidP="00237C47">
            <w:pPr>
              <w:pStyle w:val="TableText"/>
              <w:rPr>
                <w:lang w:val="en-GB"/>
              </w:rPr>
            </w:pPr>
            <w:r w:rsidRPr="00237C47">
              <w:rPr>
                <w:lang w:val="en-GB"/>
              </w:rPr>
              <w:t xml:space="preserve">2015–16 </w:t>
            </w:r>
            <w:r w:rsidRPr="00237C47">
              <w:rPr>
                <w:i/>
                <w:iCs/>
                <w:lang w:val="en-GB"/>
              </w:rPr>
              <w:t>Pricing Framework for Australian Public Hospital Services</w:t>
            </w:r>
            <w:r w:rsidRPr="00237C47">
              <w:rPr>
                <w:lang w:val="en-GB"/>
              </w:rPr>
              <w:t xml:space="preserve"> to be published by 31 December 2014 outlining the principles, scope and methodology to be adopted in the determination of the NEP and NEC</w:t>
            </w:r>
          </w:p>
        </w:tc>
        <w:tc>
          <w:tcPr>
            <w:tcW w:w="1353" w:type="dxa"/>
          </w:tcPr>
          <w:p w:rsidR="00237C47" w:rsidRPr="00237C47" w:rsidRDefault="00237C47" w:rsidP="00237C47">
            <w:pPr>
              <w:pStyle w:val="TableText"/>
              <w:rPr>
                <w:lang w:val="en-GB"/>
              </w:rPr>
            </w:pPr>
            <w:r w:rsidRPr="00237C47">
              <w:rPr>
                <w:lang w:val="en-GB"/>
              </w:rPr>
              <w:t>Target met</w:t>
            </w:r>
          </w:p>
        </w:tc>
      </w:tr>
      <w:tr w:rsidR="00237C47" w:rsidRPr="00237C47" w:rsidTr="00237C47">
        <w:trPr>
          <w:trHeight w:val="340"/>
        </w:trPr>
        <w:tc>
          <w:tcPr>
            <w:tcW w:w="3544" w:type="dxa"/>
          </w:tcPr>
          <w:p w:rsidR="00237C47" w:rsidRPr="00237C47" w:rsidRDefault="00237C47" w:rsidP="00237C47">
            <w:pPr>
              <w:pStyle w:val="TableText"/>
              <w:rPr>
                <w:lang w:val="en-GB"/>
              </w:rPr>
            </w:pPr>
            <w:r w:rsidRPr="00237C47">
              <w:rPr>
                <w:lang w:val="en-GB"/>
              </w:rPr>
              <w:t>Publish an annual determination of the NEP and NEC for the coming financial year along with other information supporting the efficient funding of public hospitals</w:t>
            </w:r>
          </w:p>
        </w:tc>
        <w:tc>
          <w:tcPr>
            <w:tcW w:w="4678" w:type="dxa"/>
          </w:tcPr>
          <w:p w:rsidR="00237C47" w:rsidRPr="00237C47" w:rsidRDefault="00237C47" w:rsidP="00237C47">
            <w:pPr>
              <w:pStyle w:val="TableText"/>
              <w:rPr>
                <w:lang w:val="en-GB"/>
              </w:rPr>
            </w:pPr>
            <w:r w:rsidRPr="00237C47">
              <w:rPr>
                <w:lang w:val="en-GB"/>
              </w:rPr>
              <w:t xml:space="preserve">2015–16 NEP and NEC Determinations to be published by 31 March 2015 </w:t>
            </w:r>
          </w:p>
        </w:tc>
        <w:tc>
          <w:tcPr>
            <w:tcW w:w="1353" w:type="dxa"/>
          </w:tcPr>
          <w:p w:rsidR="00237C47" w:rsidRPr="00237C47" w:rsidRDefault="00237C47" w:rsidP="00237C47">
            <w:pPr>
              <w:pStyle w:val="TableText"/>
              <w:rPr>
                <w:lang w:val="en-GB"/>
              </w:rPr>
            </w:pPr>
            <w:r w:rsidRPr="00237C47">
              <w:rPr>
                <w:lang w:val="en-GB"/>
              </w:rPr>
              <w:t>Target met</w:t>
            </w:r>
          </w:p>
        </w:tc>
      </w:tr>
    </w:tbl>
    <w:p w:rsidR="00382718" w:rsidRDefault="00237C47" w:rsidP="00237C47">
      <w:pPr>
        <w:pStyle w:val="Heading4"/>
      </w:pPr>
      <w:r w:rsidRPr="00237C47">
        <w:t>Develop national classifications for Activity Based Funding (ABF)</w:t>
      </w:r>
    </w:p>
    <w:tbl>
      <w:tblPr>
        <w:tblStyle w:val="DefaultTable"/>
        <w:tblW w:w="9575" w:type="dxa"/>
        <w:tblLayout w:type="fixed"/>
        <w:tblLook w:val="0020" w:firstRow="1" w:lastRow="0" w:firstColumn="0" w:lastColumn="0" w:noHBand="0" w:noVBand="0"/>
        <w:tblDescription w:val="Develop national classifications for Activity Based Funding (ABF)"/>
      </w:tblPr>
      <w:tblGrid>
        <w:gridCol w:w="3542"/>
        <w:gridCol w:w="4689"/>
        <w:gridCol w:w="1344"/>
      </w:tblGrid>
      <w:tr w:rsidR="00237C47" w:rsidRPr="00237C47" w:rsidTr="00237C47">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237C47" w:rsidRPr="00237C47" w:rsidRDefault="00237C47" w:rsidP="00237C47">
            <w:pPr>
              <w:pStyle w:val="TableText"/>
              <w:rPr>
                <w:lang w:val="en-GB"/>
              </w:rPr>
            </w:pPr>
            <w:r w:rsidRPr="00237C47">
              <w:rPr>
                <w:lang w:val="en-GB"/>
              </w:rPr>
              <w:t>Deliverable</w:t>
            </w:r>
          </w:p>
        </w:tc>
        <w:tc>
          <w:tcPr>
            <w:tcW w:w="4689" w:type="dxa"/>
          </w:tcPr>
          <w:p w:rsidR="00237C47" w:rsidRPr="00237C47" w:rsidRDefault="00237C47" w:rsidP="00237C47">
            <w:pPr>
              <w:pStyle w:val="TableText"/>
              <w:rPr>
                <w:lang w:val="en-GB"/>
              </w:rPr>
            </w:pPr>
            <w:r w:rsidRPr="00237C47">
              <w:rPr>
                <w:lang w:val="en-GB"/>
              </w:rPr>
              <w:t>Target</w:t>
            </w:r>
          </w:p>
        </w:tc>
        <w:tc>
          <w:tcPr>
            <w:tcW w:w="1344" w:type="dxa"/>
          </w:tcPr>
          <w:p w:rsidR="00237C47" w:rsidRPr="00237C47" w:rsidRDefault="00237C47" w:rsidP="00237C47">
            <w:pPr>
              <w:pStyle w:val="TableText"/>
              <w:rPr>
                <w:lang w:val="en-GB"/>
              </w:rPr>
            </w:pPr>
            <w:r w:rsidRPr="00237C47">
              <w:rPr>
                <w:lang w:val="en-GB"/>
              </w:rPr>
              <w:t>Result</w:t>
            </w:r>
          </w:p>
        </w:tc>
      </w:tr>
      <w:tr w:rsidR="00237C47" w:rsidRPr="00237C47" w:rsidTr="00237C47">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237C47" w:rsidRPr="00237C47" w:rsidRDefault="00237C47" w:rsidP="00237C47">
            <w:pPr>
              <w:pStyle w:val="TableText"/>
              <w:rPr>
                <w:lang w:val="en-GB"/>
              </w:rPr>
            </w:pPr>
            <w:r w:rsidRPr="00237C47">
              <w:rPr>
                <w:lang w:val="en-GB"/>
              </w:rPr>
              <w:t xml:space="preserve">Develop ABF classifications for mental health, subacute and non-acute care and non-admitted patient care </w:t>
            </w:r>
          </w:p>
        </w:tc>
        <w:tc>
          <w:tcPr>
            <w:tcW w:w="4689" w:type="dxa"/>
          </w:tcPr>
          <w:p w:rsidR="00237C47" w:rsidRPr="00237C47" w:rsidRDefault="00237C47" w:rsidP="00237C47">
            <w:pPr>
              <w:pStyle w:val="TableText"/>
              <w:rPr>
                <w:lang w:val="en-GB"/>
              </w:rPr>
            </w:pPr>
            <w:r w:rsidRPr="00237C47">
              <w:rPr>
                <w:lang w:val="en-GB"/>
              </w:rPr>
              <w:t xml:space="preserve">Complete mental health cost study to inform the development of the first version of the Australian Mental Health Classification April 2015 </w:t>
            </w:r>
          </w:p>
          <w:p w:rsidR="00237C47" w:rsidRPr="00237C47" w:rsidRDefault="00237C47" w:rsidP="00237C47">
            <w:pPr>
              <w:pStyle w:val="TableText"/>
              <w:rPr>
                <w:lang w:val="en-GB"/>
              </w:rPr>
            </w:pPr>
            <w:r w:rsidRPr="00237C47">
              <w:rPr>
                <w:lang w:val="en-GB"/>
              </w:rPr>
              <w:t>Complete development of Australian National Subacute and Non-acute Classification (AN</w:t>
            </w:r>
            <w:r w:rsidRPr="00237C47">
              <w:rPr>
                <w:lang w:val="en-GB"/>
              </w:rPr>
              <w:noBreakHyphen/>
              <w:t xml:space="preserve">SNAP) </w:t>
            </w:r>
            <w:r w:rsidRPr="00237C47">
              <w:rPr>
                <w:i/>
                <w:iCs/>
                <w:lang w:val="en-GB"/>
              </w:rPr>
              <w:t>Version 4</w:t>
            </w:r>
            <w:r w:rsidRPr="00237C47">
              <w:rPr>
                <w:lang w:val="en-GB"/>
              </w:rPr>
              <w:t xml:space="preserve"> by October 2014</w:t>
            </w:r>
          </w:p>
          <w:p w:rsidR="00237C47" w:rsidRPr="00237C47" w:rsidRDefault="00237C47" w:rsidP="00237C47">
            <w:pPr>
              <w:pStyle w:val="TableText"/>
              <w:rPr>
                <w:lang w:val="en-GB"/>
              </w:rPr>
            </w:pPr>
            <w:r w:rsidRPr="00237C47">
              <w:rPr>
                <w:lang w:val="en-GB"/>
              </w:rPr>
              <w:t>Commence work on non-admitted patient classification</w:t>
            </w:r>
          </w:p>
        </w:tc>
        <w:tc>
          <w:tcPr>
            <w:tcW w:w="1344" w:type="dxa"/>
          </w:tcPr>
          <w:p w:rsidR="00237C47" w:rsidRPr="00237C47" w:rsidRDefault="00237C47" w:rsidP="00237C47">
            <w:pPr>
              <w:pStyle w:val="TableText"/>
              <w:rPr>
                <w:lang w:val="en-GB"/>
              </w:rPr>
            </w:pPr>
            <w:r w:rsidRPr="00237C47">
              <w:rPr>
                <w:lang w:val="en-GB"/>
              </w:rPr>
              <w:t>Target met</w:t>
            </w:r>
          </w:p>
        </w:tc>
      </w:tr>
    </w:tbl>
    <w:p w:rsidR="00237C47" w:rsidRDefault="00237C47" w:rsidP="00237C47">
      <w:pPr>
        <w:pStyle w:val="Heading4"/>
      </w:pPr>
      <w:r w:rsidRPr="00237C47">
        <w:t>Determine data requirements and data standards</w:t>
      </w:r>
    </w:p>
    <w:tbl>
      <w:tblPr>
        <w:tblStyle w:val="DefaultTable"/>
        <w:tblW w:w="9575" w:type="dxa"/>
        <w:tblLayout w:type="fixed"/>
        <w:tblLook w:val="0020" w:firstRow="1" w:lastRow="0" w:firstColumn="0" w:lastColumn="0" w:noHBand="0" w:noVBand="0"/>
        <w:tblDescription w:val="Determine data requirements and data standards"/>
      </w:tblPr>
      <w:tblGrid>
        <w:gridCol w:w="3542"/>
        <w:gridCol w:w="4689"/>
        <w:gridCol w:w="1344"/>
      </w:tblGrid>
      <w:tr w:rsidR="00237C47" w:rsidRPr="00237C47" w:rsidTr="00237C47">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237C47" w:rsidRPr="00237C47" w:rsidRDefault="00237C47" w:rsidP="00237C47">
            <w:pPr>
              <w:pStyle w:val="TableText"/>
              <w:rPr>
                <w:lang w:val="en-GB"/>
              </w:rPr>
            </w:pPr>
            <w:r w:rsidRPr="00237C47">
              <w:rPr>
                <w:lang w:val="en-GB"/>
              </w:rPr>
              <w:t>Deliverable</w:t>
            </w:r>
          </w:p>
        </w:tc>
        <w:tc>
          <w:tcPr>
            <w:tcW w:w="4689" w:type="dxa"/>
          </w:tcPr>
          <w:p w:rsidR="00237C47" w:rsidRPr="00237C47" w:rsidRDefault="00237C47" w:rsidP="00237C47">
            <w:pPr>
              <w:pStyle w:val="TableText"/>
              <w:rPr>
                <w:lang w:val="en-GB"/>
              </w:rPr>
            </w:pPr>
            <w:r w:rsidRPr="00237C47">
              <w:rPr>
                <w:lang w:val="en-GB"/>
              </w:rPr>
              <w:t>Target</w:t>
            </w:r>
          </w:p>
        </w:tc>
        <w:tc>
          <w:tcPr>
            <w:tcW w:w="1344" w:type="dxa"/>
          </w:tcPr>
          <w:p w:rsidR="00237C47" w:rsidRPr="00237C47" w:rsidRDefault="00237C47" w:rsidP="00237C47">
            <w:pPr>
              <w:pStyle w:val="TableText"/>
              <w:rPr>
                <w:lang w:val="en-GB"/>
              </w:rPr>
            </w:pPr>
            <w:r w:rsidRPr="00237C47">
              <w:rPr>
                <w:lang w:val="en-GB"/>
              </w:rPr>
              <w:t>Result</w:t>
            </w:r>
          </w:p>
        </w:tc>
      </w:tr>
      <w:tr w:rsidR="00237C47" w:rsidRPr="00237C47" w:rsidTr="00237C47">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237C47" w:rsidRPr="00237C47" w:rsidRDefault="00237C47" w:rsidP="00237C47">
            <w:pPr>
              <w:pStyle w:val="TableText"/>
              <w:rPr>
                <w:lang w:val="en-GB"/>
              </w:rPr>
            </w:pPr>
            <w:r w:rsidRPr="00237C47">
              <w:rPr>
                <w:lang w:val="en-GB"/>
              </w:rPr>
              <w:t xml:space="preserve">Update the </w:t>
            </w:r>
            <w:r w:rsidRPr="00237C47">
              <w:rPr>
                <w:i/>
                <w:iCs/>
                <w:lang w:val="en-GB"/>
              </w:rPr>
              <w:t>Three Year Data Plan</w:t>
            </w:r>
            <w:r w:rsidRPr="00237C47">
              <w:rPr>
                <w:lang w:val="en-GB"/>
              </w:rPr>
              <w:t xml:space="preserve"> in consultation with the Australian Government and state and territory Governments</w:t>
            </w:r>
          </w:p>
        </w:tc>
        <w:tc>
          <w:tcPr>
            <w:tcW w:w="4689" w:type="dxa"/>
          </w:tcPr>
          <w:p w:rsidR="00237C47" w:rsidRPr="00237C47" w:rsidRDefault="00237C47" w:rsidP="00237C47">
            <w:pPr>
              <w:pStyle w:val="TableText"/>
              <w:rPr>
                <w:lang w:val="en-GB"/>
              </w:rPr>
            </w:pPr>
            <w:r w:rsidRPr="00237C47">
              <w:rPr>
                <w:lang w:val="en-GB"/>
              </w:rPr>
              <w:t xml:space="preserve">Updated </w:t>
            </w:r>
            <w:r w:rsidRPr="00237C47">
              <w:rPr>
                <w:i/>
                <w:iCs/>
                <w:lang w:val="en-GB"/>
              </w:rPr>
              <w:t>Three Year Data Plan</w:t>
            </w:r>
            <w:r w:rsidRPr="00237C47">
              <w:rPr>
                <w:lang w:val="en-GB"/>
              </w:rPr>
              <w:t xml:space="preserve"> published on the IHPA website by July 2014</w:t>
            </w:r>
          </w:p>
        </w:tc>
        <w:tc>
          <w:tcPr>
            <w:tcW w:w="1344" w:type="dxa"/>
          </w:tcPr>
          <w:p w:rsidR="00237C47" w:rsidRPr="00237C47" w:rsidRDefault="00237C47" w:rsidP="00237C47">
            <w:pPr>
              <w:pStyle w:val="TableText"/>
              <w:rPr>
                <w:lang w:val="en-GB"/>
              </w:rPr>
            </w:pPr>
            <w:r w:rsidRPr="00237C47">
              <w:rPr>
                <w:lang w:val="en-GB"/>
              </w:rPr>
              <w:t>Target met</w:t>
            </w:r>
          </w:p>
        </w:tc>
      </w:tr>
    </w:tbl>
    <w:p w:rsidR="00BE78EC" w:rsidRDefault="00BE78EC" w:rsidP="00382718">
      <w:r>
        <w:br w:type="page"/>
      </w:r>
    </w:p>
    <w:p w:rsidR="00237C47" w:rsidRDefault="00BE78EC" w:rsidP="00BE78EC">
      <w:pPr>
        <w:pStyle w:val="Heading3"/>
      </w:pPr>
      <w:r w:rsidRPr="00BE78EC">
        <w:lastRenderedPageBreak/>
        <w:t xml:space="preserve">Qualitative Key Performance Indicators </w:t>
      </w:r>
      <w:r>
        <w:br/>
      </w:r>
      <w:r w:rsidRPr="00BE78EC">
        <w:t>for Program 1.1</w:t>
      </w:r>
    </w:p>
    <w:p w:rsidR="00BE78EC" w:rsidRDefault="00BE78EC" w:rsidP="00BE78EC">
      <w:pPr>
        <w:pStyle w:val="Heading4"/>
      </w:pPr>
      <w:r w:rsidRPr="00BE78EC">
        <w:t>Determine data requirements and data standards</w:t>
      </w:r>
    </w:p>
    <w:tbl>
      <w:tblPr>
        <w:tblStyle w:val="DefaultTable"/>
        <w:tblW w:w="9603" w:type="dxa"/>
        <w:tblLayout w:type="fixed"/>
        <w:tblLook w:val="0020" w:firstRow="1" w:lastRow="0" w:firstColumn="0" w:lastColumn="0" w:noHBand="0" w:noVBand="0"/>
        <w:tblDescription w:val="Determine data requirements and data standards"/>
      </w:tblPr>
      <w:tblGrid>
        <w:gridCol w:w="3542"/>
        <w:gridCol w:w="3457"/>
        <w:gridCol w:w="2604"/>
      </w:tblGrid>
      <w:tr w:rsidR="00BE78EC" w:rsidRPr="00BE78EC" w:rsidTr="00BE78EC">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BE78EC" w:rsidRPr="00BE78EC" w:rsidRDefault="00BE78EC" w:rsidP="00BE78EC">
            <w:pPr>
              <w:pStyle w:val="TableText"/>
              <w:rPr>
                <w:lang w:val="en-GB"/>
              </w:rPr>
            </w:pPr>
            <w:r w:rsidRPr="00BE78EC">
              <w:rPr>
                <w:lang w:val="en-GB"/>
              </w:rPr>
              <w:t>Indicator</w:t>
            </w:r>
          </w:p>
        </w:tc>
        <w:tc>
          <w:tcPr>
            <w:tcW w:w="3457" w:type="dxa"/>
          </w:tcPr>
          <w:p w:rsidR="00BE78EC" w:rsidRPr="00BE78EC" w:rsidRDefault="00BE78EC" w:rsidP="00BE78EC">
            <w:pPr>
              <w:pStyle w:val="TableText"/>
              <w:rPr>
                <w:lang w:val="en-GB"/>
              </w:rPr>
            </w:pPr>
            <w:r w:rsidRPr="00BE78EC">
              <w:rPr>
                <w:lang w:val="en-GB"/>
              </w:rPr>
              <w:t>Target</w:t>
            </w:r>
          </w:p>
        </w:tc>
        <w:tc>
          <w:tcPr>
            <w:tcW w:w="2604" w:type="dxa"/>
          </w:tcPr>
          <w:p w:rsidR="00BE78EC" w:rsidRPr="00BE78EC" w:rsidRDefault="00BE78EC" w:rsidP="00BE78EC">
            <w:pPr>
              <w:pStyle w:val="TableText"/>
              <w:rPr>
                <w:lang w:val="en-GB"/>
              </w:rPr>
            </w:pPr>
            <w:r w:rsidRPr="00BE78EC">
              <w:rPr>
                <w:lang w:val="en-GB"/>
              </w:rPr>
              <w:t>Result</w:t>
            </w:r>
          </w:p>
        </w:tc>
      </w:tr>
      <w:tr w:rsidR="00BE78EC" w:rsidRPr="00BE78EC" w:rsidTr="00BE78EC">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BE78EC" w:rsidRPr="00BE78EC" w:rsidRDefault="00BE78EC" w:rsidP="00BE78EC">
            <w:pPr>
              <w:pStyle w:val="TableText"/>
              <w:rPr>
                <w:lang w:val="en-GB"/>
              </w:rPr>
            </w:pPr>
            <w:r w:rsidRPr="00BE78EC">
              <w:rPr>
                <w:lang w:val="en-GB"/>
              </w:rPr>
              <w:t xml:space="preserve">Commonwealth, states and territories comply with the data requirements and data standards, as outlined in the </w:t>
            </w:r>
            <w:r w:rsidRPr="00BE78EC">
              <w:rPr>
                <w:i/>
                <w:iCs/>
                <w:lang w:val="en-GB"/>
              </w:rPr>
              <w:t>Three Year Data Plan</w:t>
            </w:r>
          </w:p>
        </w:tc>
        <w:tc>
          <w:tcPr>
            <w:tcW w:w="3457" w:type="dxa"/>
          </w:tcPr>
          <w:p w:rsidR="00BE78EC" w:rsidRPr="00BE78EC" w:rsidRDefault="00BE78EC" w:rsidP="00BE78EC">
            <w:pPr>
              <w:pStyle w:val="TableText"/>
              <w:rPr>
                <w:lang w:val="en-GB"/>
              </w:rPr>
            </w:pPr>
            <w:r w:rsidRPr="00BE78EC">
              <w:rPr>
                <w:lang w:val="en-GB"/>
              </w:rPr>
              <w:t xml:space="preserve">Publication of a quarterly report outlining the Commonwealth and state and territory compliance with the data requirements and data standards specified in the </w:t>
            </w:r>
            <w:r w:rsidRPr="00BE78EC">
              <w:rPr>
                <w:i/>
                <w:iCs/>
                <w:lang w:val="en-GB"/>
              </w:rPr>
              <w:t>Three Year Data Plan</w:t>
            </w:r>
          </w:p>
        </w:tc>
        <w:tc>
          <w:tcPr>
            <w:tcW w:w="2604" w:type="dxa"/>
          </w:tcPr>
          <w:p w:rsidR="00BE78EC" w:rsidRPr="00BE78EC" w:rsidRDefault="00BE78EC" w:rsidP="00BE78EC">
            <w:pPr>
              <w:pStyle w:val="TableText"/>
              <w:rPr>
                <w:lang w:val="en-GB"/>
              </w:rPr>
            </w:pPr>
            <w:r w:rsidRPr="00BE78EC">
              <w:rPr>
                <w:lang w:val="en-GB"/>
              </w:rPr>
              <w:t xml:space="preserve">Target met on a six monthly basis as determined by COAG Health Council for implementation in 2014–15 </w:t>
            </w:r>
          </w:p>
        </w:tc>
      </w:tr>
    </w:tbl>
    <w:p w:rsidR="00BE78EC" w:rsidRDefault="00711DF6" w:rsidP="00711DF6">
      <w:pPr>
        <w:pStyle w:val="Heading4"/>
      </w:pPr>
      <w:r w:rsidRPr="00711DF6">
        <w:t>Determine the National Efficient Price (NEP) and National Efficient Cost (NEC) for public hospital services</w:t>
      </w:r>
    </w:p>
    <w:tbl>
      <w:tblPr>
        <w:tblStyle w:val="DefaultTable"/>
        <w:tblW w:w="9603" w:type="dxa"/>
        <w:tblLayout w:type="fixed"/>
        <w:tblLook w:val="0020" w:firstRow="1" w:lastRow="0" w:firstColumn="0" w:lastColumn="0" w:noHBand="0" w:noVBand="0"/>
        <w:tblDescription w:val="Determine the National Efficient Price (NEP) and National Efficient Cost (NEC) for public hospital services"/>
      </w:tblPr>
      <w:tblGrid>
        <w:gridCol w:w="3542"/>
        <w:gridCol w:w="3457"/>
        <w:gridCol w:w="2604"/>
      </w:tblGrid>
      <w:tr w:rsidR="00711DF6" w:rsidRPr="00711DF6" w:rsidTr="00711DF6">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711DF6" w:rsidRPr="00711DF6" w:rsidRDefault="00711DF6" w:rsidP="00711DF6">
            <w:pPr>
              <w:pStyle w:val="TableText"/>
              <w:rPr>
                <w:lang w:val="en-GB"/>
              </w:rPr>
            </w:pPr>
            <w:r w:rsidRPr="00711DF6">
              <w:rPr>
                <w:lang w:val="en-GB"/>
              </w:rPr>
              <w:t>Indicator</w:t>
            </w:r>
          </w:p>
        </w:tc>
        <w:tc>
          <w:tcPr>
            <w:tcW w:w="3457" w:type="dxa"/>
          </w:tcPr>
          <w:p w:rsidR="00711DF6" w:rsidRPr="00711DF6" w:rsidRDefault="00711DF6" w:rsidP="00711DF6">
            <w:pPr>
              <w:pStyle w:val="TableText"/>
              <w:rPr>
                <w:lang w:val="en-GB"/>
              </w:rPr>
            </w:pPr>
            <w:r w:rsidRPr="00711DF6">
              <w:rPr>
                <w:lang w:val="en-GB"/>
              </w:rPr>
              <w:t>Target</w:t>
            </w:r>
          </w:p>
        </w:tc>
        <w:tc>
          <w:tcPr>
            <w:tcW w:w="2604" w:type="dxa"/>
          </w:tcPr>
          <w:p w:rsidR="00711DF6" w:rsidRPr="00711DF6" w:rsidRDefault="00711DF6" w:rsidP="00711DF6">
            <w:pPr>
              <w:pStyle w:val="TableText"/>
              <w:rPr>
                <w:lang w:val="en-GB"/>
              </w:rPr>
            </w:pPr>
            <w:r w:rsidRPr="00711DF6">
              <w:rPr>
                <w:lang w:val="en-GB"/>
              </w:rPr>
              <w:t>Result</w:t>
            </w:r>
          </w:p>
        </w:tc>
      </w:tr>
      <w:tr w:rsidR="00711DF6" w:rsidRPr="00711DF6" w:rsidTr="00711DF6">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711DF6" w:rsidRPr="00711DF6" w:rsidRDefault="00711DF6" w:rsidP="00711DF6">
            <w:pPr>
              <w:pStyle w:val="TableText"/>
              <w:rPr>
                <w:lang w:val="en-GB"/>
              </w:rPr>
            </w:pPr>
            <w:r w:rsidRPr="00711DF6">
              <w:rPr>
                <w:lang w:val="en-GB"/>
              </w:rPr>
              <w:t xml:space="preserve">Reduce the number of Local Hospital Networks that record costs per National Weighted Activity Unit (NWAU) significantly above the NEP </w:t>
            </w:r>
          </w:p>
        </w:tc>
        <w:tc>
          <w:tcPr>
            <w:tcW w:w="3457" w:type="dxa"/>
          </w:tcPr>
          <w:p w:rsidR="00711DF6" w:rsidRPr="00711DF6" w:rsidRDefault="00711DF6" w:rsidP="00711DF6">
            <w:pPr>
              <w:pStyle w:val="TableText"/>
              <w:rPr>
                <w:lang w:val="en-GB"/>
              </w:rPr>
            </w:pPr>
            <w:r w:rsidRPr="00711DF6">
              <w:rPr>
                <w:lang w:val="en-GB"/>
              </w:rPr>
              <w:t>2014–15 should provide a reduction in the range between the 50th and 90th percentile cost per NWAU when compared to 2012–13 data. In 2011–12 this was $4,096</w:t>
            </w:r>
          </w:p>
        </w:tc>
        <w:tc>
          <w:tcPr>
            <w:tcW w:w="2604" w:type="dxa"/>
          </w:tcPr>
          <w:p w:rsidR="00711DF6" w:rsidRPr="00711DF6" w:rsidRDefault="00711DF6" w:rsidP="00711DF6">
            <w:pPr>
              <w:pStyle w:val="TableText"/>
              <w:rPr>
                <w:lang w:val="en-GB"/>
              </w:rPr>
            </w:pPr>
            <w:r w:rsidRPr="00711DF6">
              <w:rPr>
                <w:lang w:val="en-GB"/>
              </w:rPr>
              <w:t>Target met</w:t>
            </w:r>
          </w:p>
        </w:tc>
      </w:tr>
    </w:tbl>
    <w:p w:rsidR="00711DF6" w:rsidRDefault="00932C33" w:rsidP="00932C33">
      <w:pPr>
        <w:pStyle w:val="Heading4"/>
      </w:pPr>
      <w:r w:rsidRPr="00932C33">
        <w:t>Develop national classifications for Activity Based Funding (ABF)</w:t>
      </w:r>
    </w:p>
    <w:tbl>
      <w:tblPr>
        <w:tblStyle w:val="DefaultTable"/>
        <w:tblW w:w="9603" w:type="dxa"/>
        <w:tblLayout w:type="fixed"/>
        <w:tblLook w:val="0020" w:firstRow="1" w:lastRow="0" w:firstColumn="0" w:lastColumn="0" w:noHBand="0" w:noVBand="0"/>
        <w:tblDescription w:val="Develop national classifications for Activity Based Funding (ABF)"/>
      </w:tblPr>
      <w:tblGrid>
        <w:gridCol w:w="3542"/>
        <w:gridCol w:w="3457"/>
        <w:gridCol w:w="2604"/>
      </w:tblGrid>
      <w:tr w:rsidR="00932C33" w:rsidRPr="00932C33" w:rsidTr="00932C33">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932C33" w:rsidRPr="00932C33" w:rsidRDefault="00932C33" w:rsidP="00932C33">
            <w:pPr>
              <w:pStyle w:val="TableText"/>
              <w:rPr>
                <w:lang w:val="en-GB"/>
              </w:rPr>
            </w:pPr>
            <w:r w:rsidRPr="00932C33">
              <w:rPr>
                <w:lang w:val="en-GB"/>
              </w:rPr>
              <w:t>Indicator</w:t>
            </w:r>
          </w:p>
        </w:tc>
        <w:tc>
          <w:tcPr>
            <w:tcW w:w="3457" w:type="dxa"/>
          </w:tcPr>
          <w:p w:rsidR="00932C33" w:rsidRPr="00932C33" w:rsidRDefault="00932C33" w:rsidP="00932C33">
            <w:pPr>
              <w:pStyle w:val="TableText"/>
              <w:rPr>
                <w:lang w:val="en-GB"/>
              </w:rPr>
            </w:pPr>
            <w:r w:rsidRPr="00932C33">
              <w:rPr>
                <w:lang w:val="en-GB"/>
              </w:rPr>
              <w:t>Target</w:t>
            </w:r>
          </w:p>
        </w:tc>
        <w:tc>
          <w:tcPr>
            <w:tcW w:w="2604" w:type="dxa"/>
          </w:tcPr>
          <w:p w:rsidR="00932C33" w:rsidRPr="00932C33" w:rsidRDefault="00932C33" w:rsidP="00932C33">
            <w:pPr>
              <w:pStyle w:val="TableText"/>
              <w:rPr>
                <w:lang w:val="en-GB"/>
              </w:rPr>
            </w:pPr>
            <w:r w:rsidRPr="00932C33">
              <w:rPr>
                <w:lang w:val="en-GB"/>
              </w:rPr>
              <w:t>Result</w:t>
            </w:r>
          </w:p>
        </w:tc>
      </w:tr>
      <w:tr w:rsidR="00932C33" w:rsidRPr="00932C33" w:rsidTr="00932C33">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932C33" w:rsidRPr="00932C33" w:rsidRDefault="00932C33" w:rsidP="00932C33">
            <w:pPr>
              <w:pStyle w:val="TableText"/>
              <w:rPr>
                <w:lang w:val="en-GB"/>
              </w:rPr>
            </w:pPr>
            <w:r w:rsidRPr="00932C33">
              <w:rPr>
                <w:lang w:val="en-GB"/>
              </w:rPr>
              <w:t>Increased percentage of public hospital services funded by nationally consistent ABF</w:t>
            </w:r>
          </w:p>
        </w:tc>
        <w:tc>
          <w:tcPr>
            <w:tcW w:w="3457" w:type="dxa"/>
          </w:tcPr>
          <w:p w:rsidR="00932C33" w:rsidRPr="00932C33" w:rsidRDefault="00932C33" w:rsidP="00932C33">
            <w:pPr>
              <w:pStyle w:val="TableText"/>
              <w:rPr>
                <w:lang w:val="en-GB"/>
              </w:rPr>
            </w:pPr>
            <w:r w:rsidRPr="00932C33">
              <w:rPr>
                <w:lang w:val="en-GB"/>
              </w:rPr>
              <w:t xml:space="preserve">2014–15 will provide an increase in the proportion of public hospital funding using ABF as reported by the Administrator of the National Health Funding Pool. In 2012–13, 72 per cent of National Health Reform Agenda funding was provided on the basis of ABF </w:t>
            </w:r>
          </w:p>
        </w:tc>
        <w:tc>
          <w:tcPr>
            <w:tcW w:w="2604" w:type="dxa"/>
          </w:tcPr>
          <w:p w:rsidR="00932C33" w:rsidRPr="00932C33" w:rsidRDefault="00932C33" w:rsidP="00932C33">
            <w:pPr>
              <w:pStyle w:val="TableText"/>
              <w:rPr>
                <w:lang w:val="en-GB"/>
              </w:rPr>
            </w:pPr>
            <w:r w:rsidRPr="00932C33">
              <w:rPr>
                <w:lang w:val="en-GB"/>
              </w:rPr>
              <w:t>Target met</w:t>
            </w:r>
          </w:p>
        </w:tc>
      </w:tr>
    </w:tbl>
    <w:p w:rsidR="00932C33" w:rsidRDefault="00525EA4" w:rsidP="00525EA4">
      <w:pPr>
        <w:pStyle w:val="Heading4"/>
      </w:pPr>
      <w:r w:rsidRPr="00525EA4">
        <w:t>Resolve disputes on cost-shifting and cross-border issues</w:t>
      </w:r>
    </w:p>
    <w:tbl>
      <w:tblPr>
        <w:tblStyle w:val="DefaultTable"/>
        <w:tblW w:w="9603" w:type="dxa"/>
        <w:tblLayout w:type="fixed"/>
        <w:tblLook w:val="0020" w:firstRow="1" w:lastRow="0" w:firstColumn="0" w:lastColumn="0" w:noHBand="0" w:noVBand="0"/>
        <w:tblDescription w:val="Resolve disputes on cost-shifting and cross-border issues"/>
      </w:tblPr>
      <w:tblGrid>
        <w:gridCol w:w="3542"/>
        <w:gridCol w:w="3457"/>
        <w:gridCol w:w="2604"/>
      </w:tblGrid>
      <w:tr w:rsidR="00525EA4" w:rsidRPr="00525EA4" w:rsidTr="00525EA4">
        <w:trPr>
          <w:cnfStyle w:val="100000000000" w:firstRow="1" w:lastRow="0" w:firstColumn="0" w:lastColumn="0" w:oddVBand="0" w:evenVBand="0" w:oddHBand="0" w:evenHBand="0" w:firstRowFirstColumn="0" w:firstRowLastColumn="0" w:lastRowFirstColumn="0" w:lastRowLastColumn="0"/>
          <w:trHeight w:val="340"/>
        </w:trPr>
        <w:tc>
          <w:tcPr>
            <w:tcW w:w="3542" w:type="dxa"/>
          </w:tcPr>
          <w:p w:rsidR="00525EA4" w:rsidRPr="00525EA4" w:rsidRDefault="00525EA4" w:rsidP="00525EA4">
            <w:pPr>
              <w:pStyle w:val="TableText"/>
              <w:rPr>
                <w:lang w:val="en-GB"/>
              </w:rPr>
            </w:pPr>
            <w:r w:rsidRPr="00525EA4">
              <w:rPr>
                <w:lang w:val="en-GB"/>
              </w:rPr>
              <w:t>Indicator</w:t>
            </w:r>
          </w:p>
        </w:tc>
        <w:tc>
          <w:tcPr>
            <w:tcW w:w="3457" w:type="dxa"/>
          </w:tcPr>
          <w:p w:rsidR="00525EA4" w:rsidRPr="00525EA4" w:rsidRDefault="00525EA4" w:rsidP="00525EA4">
            <w:pPr>
              <w:pStyle w:val="TableText"/>
              <w:rPr>
                <w:lang w:val="en-GB"/>
              </w:rPr>
            </w:pPr>
            <w:r w:rsidRPr="00525EA4">
              <w:rPr>
                <w:lang w:val="en-GB"/>
              </w:rPr>
              <w:t>2014–15 Reference Point or Target</w:t>
            </w:r>
          </w:p>
        </w:tc>
        <w:tc>
          <w:tcPr>
            <w:tcW w:w="2604" w:type="dxa"/>
          </w:tcPr>
          <w:p w:rsidR="00525EA4" w:rsidRPr="00525EA4" w:rsidRDefault="00525EA4" w:rsidP="00525EA4">
            <w:pPr>
              <w:pStyle w:val="TableText"/>
              <w:rPr>
                <w:lang w:val="en-GB"/>
              </w:rPr>
            </w:pPr>
            <w:r w:rsidRPr="00525EA4">
              <w:rPr>
                <w:lang w:val="en-GB"/>
              </w:rPr>
              <w:t>Result</w:t>
            </w:r>
          </w:p>
        </w:tc>
      </w:tr>
      <w:tr w:rsidR="00525EA4" w:rsidRPr="00525EA4" w:rsidTr="00525EA4">
        <w:trPr>
          <w:cnfStyle w:val="000000100000" w:firstRow="0" w:lastRow="0" w:firstColumn="0" w:lastColumn="0" w:oddVBand="0" w:evenVBand="0" w:oddHBand="1" w:evenHBand="0" w:firstRowFirstColumn="0" w:firstRowLastColumn="0" w:lastRowFirstColumn="0" w:lastRowLastColumn="0"/>
          <w:trHeight w:val="340"/>
        </w:trPr>
        <w:tc>
          <w:tcPr>
            <w:tcW w:w="3542" w:type="dxa"/>
          </w:tcPr>
          <w:p w:rsidR="00525EA4" w:rsidRPr="00525EA4" w:rsidRDefault="00525EA4" w:rsidP="00525EA4">
            <w:pPr>
              <w:pStyle w:val="TableText"/>
              <w:rPr>
                <w:lang w:val="en-GB"/>
              </w:rPr>
            </w:pPr>
            <w:r w:rsidRPr="00525EA4">
              <w:rPr>
                <w:lang w:val="en-GB"/>
              </w:rPr>
              <w:t>Timely investigation and provision of recommendations to Health Ministers on cross-border and cost shifting disputes</w:t>
            </w:r>
          </w:p>
        </w:tc>
        <w:tc>
          <w:tcPr>
            <w:tcW w:w="3457" w:type="dxa"/>
          </w:tcPr>
          <w:p w:rsidR="00525EA4" w:rsidRPr="00525EA4" w:rsidRDefault="00525EA4" w:rsidP="00525EA4">
            <w:pPr>
              <w:pStyle w:val="TableText"/>
              <w:rPr>
                <w:lang w:val="en-GB"/>
              </w:rPr>
            </w:pPr>
            <w:r w:rsidRPr="00525EA4">
              <w:rPr>
                <w:lang w:val="en-GB"/>
              </w:rPr>
              <w:t>IHPA investigation of cross-border or cost shifting disputes and provision of recommendations or assessment within six months of receipt of request</w:t>
            </w:r>
          </w:p>
        </w:tc>
        <w:tc>
          <w:tcPr>
            <w:tcW w:w="2604" w:type="dxa"/>
          </w:tcPr>
          <w:p w:rsidR="00525EA4" w:rsidRPr="00525EA4" w:rsidRDefault="00525EA4" w:rsidP="00525EA4">
            <w:pPr>
              <w:pStyle w:val="TableText"/>
              <w:rPr>
                <w:lang w:val="en-GB"/>
              </w:rPr>
            </w:pPr>
            <w:r w:rsidRPr="00525EA4">
              <w:rPr>
                <w:lang w:val="en-GB"/>
              </w:rPr>
              <w:t>Reference point met</w:t>
            </w:r>
          </w:p>
        </w:tc>
      </w:tr>
    </w:tbl>
    <w:p w:rsidR="00525EA4" w:rsidRDefault="00525EA4" w:rsidP="00382718">
      <w:r>
        <w:br w:type="page"/>
      </w:r>
    </w:p>
    <w:p w:rsidR="00525EA4" w:rsidRPr="00525EA4" w:rsidRDefault="00525EA4" w:rsidP="00525EA4">
      <w:pPr>
        <w:pStyle w:val="Heading2"/>
        <w:rPr>
          <w:lang w:val="en-GB"/>
        </w:rPr>
      </w:pPr>
      <w:r w:rsidRPr="00525EA4">
        <w:rPr>
          <w:lang w:val="en-GB"/>
        </w:rPr>
        <w:lastRenderedPageBreak/>
        <w:t>Publications</w:t>
      </w:r>
    </w:p>
    <w:p w:rsidR="00525EA4" w:rsidRPr="00525EA4" w:rsidRDefault="00525EA4" w:rsidP="00525EA4">
      <w:pPr>
        <w:pStyle w:val="Intro"/>
        <w:rPr>
          <w:lang w:val="en-GB"/>
        </w:rPr>
      </w:pPr>
      <w:r w:rsidRPr="00525EA4">
        <w:rPr>
          <w:lang w:val="en-GB"/>
        </w:rPr>
        <w:t xml:space="preserve">IHPA has produced a number of publications and reference materials that provide the groundwork to deliver our objectives as required under the </w:t>
      </w:r>
      <w:r w:rsidRPr="00525EA4">
        <w:rPr>
          <w:i/>
          <w:iCs/>
          <w:lang w:val="en-GB"/>
        </w:rPr>
        <w:t>National Health Reform Act 2011</w:t>
      </w:r>
      <w:r w:rsidRPr="00525EA4">
        <w:rPr>
          <w:lang w:val="en-GB"/>
        </w:rPr>
        <w:t xml:space="preserve">. All of these documents are available on the IHPA website at </w:t>
      </w:r>
      <w:hyperlink r:id="rId29" w:history="1">
        <w:r w:rsidRPr="00525EA4">
          <w:rPr>
            <w:rStyle w:val="Hyperlink"/>
            <w:color w:val="008A00" w:themeColor="accent2"/>
            <w:lang w:val="en-GB"/>
          </w:rPr>
          <w:t>www.ihpa.gov.au</w:t>
        </w:r>
      </w:hyperlink>
    </w:p>
    <w:p w:rsidR="00525EA4" w:rsidRPr="00A221F7" w:rsidRDefault="00525EA4" w:rsidP="00F943FE">
      <w:pPr>
        <w:pStyle w:val="Heading3"/>
        <w:rPr>
          <w:rStyle w:val="Emphasis"/>
        </w:rPr>
      </w:pPr>
      <w:r w:rsidRPr="00A221F7">
        <w:rPr>
          <w:rStyle w:val="Emphasis"/>
        </w:rPr>
        <w:t>National Efficient Cost (NEC) Determination 2015–16</w:t>
      </w:r>
    </w:p>
    <w:p w:rsidR="00525EA4" w:rsidRPr="00525EA4" w:rsidRDefault="00525EA4" w:rsidP="00525EA4">
      <w:pPr>
        <w:rPr>
          <w:lang w:val="en-GB"/>
        </w:rPr>
      </w:pPr>
      <w:r w:rsidRPr="00525EA4">
        <w:rPr>
          <w:lang w:val="en-GB"/>
        </w:rPr>
        <w:t xml:space="preserve">A National Efficient Cost for services that are not suitable for Activity Based Funding (ABF), such as small rural hospitals. This determines the Australian Government’s contribution to block funded hospitals. </w:t>
      </w:r>
    </w:p>
    <w:p w:rsidR="00525EA4" w:rsidRPr="00A221F7" w:rsidRDefault="00525EA4" w:rsidP="00F943FE">
      <w:pPr>
        <w:pStyle w:val="Heading3"/>
        <w:rPr>
          <w:rStyle w:val="Emphasis"/>
        </w:rPr>
      </w:pPr>
      <w:r w:rsidRPr="00A221F7">
        <w:rPr>
          <w:rStyle w:val="Emphasis"/>
        </w:rPr>
        <w:t>National Efficient Price (NEP) Determination 2015–16</w:t>
      </w:r>
    </w:p>
    <w:p w:rsidR="00525EA4" w:rsidRPr="00525EA4" w:rsidRDefault="00525EA4" w:rsidP="00525EA4">
      <w:pPr>
        <w:rPr>
          <w:lang w:val="en-GB"/>
        </w:rPr>
      </w:pPr>
      <w:r w:rsidRPr="00525EA4">
        <w:rPr>
          <w:lang w:val="en-GB"/>
        </w:rPr>
        <w:t xml:space="preserve">The NEP underpins ABF across Australia for Commonwealth funded public hospital services. This document includes the way the NEP is calculated and the price weights for specific hospital services. </w:t>
      </w:r>
    </w:p>
    <w:p w:rsidR="00525EA4" w:rsidRPr="00A221F7" w:rsidRDefault="00525EA4" w:rsidP="00F943FE">
      <w:pPr>
        <w:pStyle w:val="Heading3"/>
        <w:rPr>
          <w:rStyle w:val="Emphasis"/>
        </w:rPr>
      </w:pPr>
      <w:r w:rsidRPr="00A221F7">
        <w:rPr>
          <w:rStyle w:val="Emphasis"/>
        </w:rPr>
        <w:t>Pricing Framework for Australian Public Hospital Services 2015–16</w:t>
      </w:r>
    </w:p>
    <w:p w:rsidR="00525EA4" w:rsidRPr="00525EA4" w:rsidRDefault="00525EA4" w:rsidP="00525EA4">
      <w:pPr>
        <w:rPr>
          <w:lang w:val="en-GB"/>
        </w:rPr>
      </w:pPr>
      <w:r w:rsidRPr="00525EA4">
        <w:rPr>
          <w:lang w:val="en-GB"/>
        </w:rPr>
        <w:t>The Pricing Framework is fundamental to the National Health Reform Agreement and underpins the annual NEP and NEC for Australian public hospital services.</w:t>
      </w:r>
    </w:p>
    <w:p w:rsidR="00525EA4" w:rsidRPr="00A221F7" w:rsidRDefault="00525EA4" w:rsidP="00F943FE">
      <w:pPr>
        <w:pStyle w:val="Heading3"/>
        <w:rPr>
          <w:rStyle w:val="Emphasis"/>
        </w:rPr>
      </w:pPr>
      <w:r w:rsidRPr="00A221F7">
        <w:rPr>
          <w:rStyle w:val="Emphasis"/>
        </w:rPr>
        <w:t xml:space="preserve">Australian Refined Diagnosis Related Group (AR-DRG) version 8.0 </w:t>
      </w:r>
    </w:p>
    <w:p w:rsidR="00525EA4" w:rsidRPr="00525EA4" w:rsidRDefault="00525EA4" w:rsidP="00525EA4">
      <w:pPr>
        <w:rPr>
          <w:lang w:val="en-GB"/>
        </w:rPr>
      </w:pPr>
      <w:r w:rsidRPr="00525EA4">
        <w:rPr>
          <w:lang w:val="en-GB"/>
        </w:rPr>
        <w:t xml:space="preserve">As part of the development of AR-DRG version 8.0, IHPA has released the Review of the AR-DRG Case Complexity Process; and the Development of the Australian Refined Diagnosis Related Groups version 8.0. </w:t>
      </w:r>
    </w:p>
    <w:p w:rsidR="00525EA4" w:rsidRPr="00A221F7" w:rsidRDefault="00525EA4" w:rsidP="00525EA4">
      <w:pPr>
        <w:pStyle w:val="Heading3"/>
        <w:rPr>
          <w:rStyle w:val="Emphasis"/>
        </w:rPr>
      </w:pPr>
      <w:r w:rsidRPr="00A221F7">
        <w:rPr>
          <w:rStyle w:val="Emphasis"/>
        </w:rPr>
        <w:t>Tier 2 Non-admitted Services Compendium 2015–16</w:t>
      </w:r>
    </w:p>
    <w:p w:rsidR="00525EA4" w:rsidRPr="00525EA4" w:rsidRDefault="00525EA4" w:rsidP="00525EA4">
      <w:pPr>
        <w:rPr>
          <w:lang w:val="en-GB"/>
        </w:rPr>
      </w:pPr>
      <w:r w:rsidRPr="00525EA4">
        <w:rPr>
          <w:lang w:val="en-GB"/>
        </w:rPr>
        <w:t>The Tier 2 Non-admitted Services Compendium assists health departments and hospital staff to collect non-admitted activity data for ABF. The compendium provides guidance on the counting and classification rules associated with the Tier 2 non-admitted services classification.</w:t>
      </w:r>
    </w:p>
    <w:p w:rsidR="00525EA4" w:rsidRPr="00A221F7" w:rsidRDefault="00525EA4" w:rsidP="00525EA4">
      <w:pPr>
        <w:pStyle w:val="Heading3"/>
        <w:rPr>
          <w:rStyle w:val="Emphasis"/>
        </w:rPr>
      </w:pPr>
      <w:r w:rsidRPr="00A221F7">
        <w:rPr>
          <w:rStyle w:val="Emphasis"/>
        </w:rPr>
        <w:t>Tier 2 Non-admitted Services Definition Manual version 4.0 2015–16</w:t>
      </w:r>
    </w:p>
    <w:p w:rsidR="00525EA4" w:rsidRPr="00525EA4" w:rsidRDefault="00525EA4" w:rsidP="00525EA4">
      <w:pPr>
        <w:rPr>
          <w:lang w:val="en-GB"/>
        </w:rPr>
      </w:pPr>
      <w:r w:rsidRPr="00525EA4">
        <w:rPr>
          <w:lang w:val="en-GB"/>
        </w:rPr>
        <w:t xml:space="preserve">This manual provides the Tier 2 classes for counting non-admitted service events based on an assessment of both the type of clinician providing the service and the nature of the service provided. </w:t>
      </w:r>
    </w:p>
    <w:p w:rsidR="00525EA4" w:rsidRPr="00A221F7" w:rsidRDefault="00525EA4" w:rsidP="00525EA4">
      <w:pPr>
        <w:pStyle w:val="Heading3"/>
        <w:rPr>
          <w:rStyle w:val="Emphasis"/>
        </w:rPr>
      </w:pPr>
      <w:r w:rsidRPr="00A221F7">
        <w:rPr>
          <w:rStyle w:val="Emphasis"/>
        </w:rPr>
        <w:lastRenderedPageBreak/>
        <w:t>Define Teaching, Training and Research (TTR) and Identify Associated cost drivers for ABF purposes – Final Report</w:t>
      </w:r>
    </w:p>
    <w:p w:rsidR="00525EA4" w:rsidRPr="00525EA4" w:rsidRDefault="00525EA4" w:rsidP="00525EA4">
      <w:pPr>
        <w:rPr>
          <w:lang w:val="en-GB"/>
        </w:rPr>
      </w:pPr>
      <w:r w:rsidRPr="00525EA4">
        <w:rPr>
          <w:lang w:val="en-GB"/>
        </w:rPr>
        <w:t>The final report presents the findings of work to develop a set of nationally agreed definitions, identify cost drivers, and produce a classification development framework. It provides recommendations that aim to support a feasibility assessment of transitioning TTR to ABF by 1 July 2018.</w:t>
      </w:r>
    </w:p>
    <w:p w:rsidR="00525EA4" w:rsidRPr="00A221F7" w:rsidRDefault="00525EA4" w:rsidP="00525EA4">
      <w:pPr>
        <w:pStyle w:val="Heading3"/>
        <w:rPr>
          <w:rStyle w:val="Emphasis"/>
        </w:rPr>
      </w:pPr>
      <w:r w:rsidRPr="00A221F7">
        <w:rPr>
          <w:rStyle w:val="Emphasis"/>
        </w:rPr>
        <w:t>Development of the Australian National Subacute and Non acute (AN</w:t>
      </w:r>
      <w:r w:rsidRPr="00A221F7">
        <w:rPr>
          <w:rStyle w:val="Emphasis"/>
        </w:rPr>
        <w:noBreakHyphen/>
        <w:t>SNAP) Patient Classification Version 4 – Final Report</w:t>
      </w:r>
    </w:p>
    <w:p w:rsidR="00525EA4" w:rsidRPr="00525EA4" w:rsidRDefault="00525EA4" w:rsidP="00525EA4">
      <w:pPr>
        <w:rPr>
          <w:lang w:val="en-GB"/>
        </w:rPr>
      </w:pPr>
      <w:r w:rsidRPr="00525EA4">
        <w:rPr>
          <w:lang w:val="en-GB"/>
        </w:rPr>
        <w:t>The report presents the findings of work to develop a fully revised version of the AN</w:t>
      </w:r>
      <w:r w:rsidRPr="00525EA4">
        <w:rPr>
          <w:lang w:val="en-GB"/>
        </w:rPr>
        <w:noBreakHyphen/>
        <w:t>SNAP classification that reflects current and evolving clinical practice. AN</w:t>
      </w:r>
      <w:r w:rsidRPr="00525EA4">
        <w:rPr>
          <w:lang w:val="en-GB"/>
        </w:rPr>
        <w:noBreakHyphen/>
        <w:t>SNAP version 4 was released in May 2015.</w:t>
      </w:r>
    </w:p>
    <w:p w:rsidR="00525EA4" w:rsidRPr="00A221F7" w:rsidRDefault="00525EA4" w:rsidP="00525EA4">
      <w:pPr>
        <w:pStyle w:val="Heading3"/>
        <w:rPr>
          <w:rStyle w:val="Emphasis"/>
        </w:rPr>
      </w:pPr>
      <w:r w:rsidRPr="00A221F7">
        <w:rPr>
          <w:rStyle w:val="Emphasis"/>
        </w:rPr>
        <w:t>Work Program 2014–15</w:t>
      </w:r>
    </w:p>
    <w:p w:rsidR="00525EA4" w:rsidRDefault="00525EA4" w:rsidP="00382718">
      <w:pPr>
        <w:rPr>
          <w:lang w:val="en-GB"/>
        </w:rPr>
      </w:pPr>
      <w:r w:rsidRPr="00525EA4">
        <w:rPr>
          <w:lang w:val="en-GB"/>
        </w:rPr>
        <w:t xml:space="preserve">IHPA’s Work Program is revised and published each financial year. It outlines IHPA’s objectives, performance indicators and </w:t>
      </w:r>
      <w:r>
        <w:rPr>
          <w:lang w:val="en-GB"/>
        </w:rPr>
        <w:t>timeframes for the coming year.</w:t>
      </w:r>
    </w:p>
    <w:p w:rsidR="009726D0" w:rsidRDefault="009726D0" w:rsidP="00382718">
      <w:pPr>
        <w:rPr>
          <w:lang w:val="en-GB"/>
        </w:rPr>
      </w:pPr>
      <w:r>
        <w:rPr>
          <w:lang w:val="en-GB"/>
        </w:rPr>
        <w:br w:type="page"/>
      </w:r>
    </w:p>
    <w:p w:rsidR="009726D0" w:rsidRPr="009726D0" w:rsidRDefault="009726D0" w:rsidP="009726D0">
      <w:pPr>
        <w:pStyle w:val="Heading2"/>
        <w:rPr>
          <w:lang w:val="en-GB"/>
        </w:rPr>
      </w:pPr>
      <w:r w:rsidRPr="009726D0">
        <w:rPr>
          <w:lang w:val="en-GB"/>
        </w:rPr>
        <w:lastRenderedPageBreak/>
        <w:t xml:space="preserve">Stakeholder engagement </w:t>
      </w:r>
    </w:p>
    <w:p w:rsidR="009726D0" w:rsidRPr="009726D0" w:rsidRDefault="009726D0" w:rsidP="009726D0">
      <w:pPr>
        <w:pStyle w:val="Heading3"/>
        <w:rPr>
          <w:lang w:val="en-GB"/>
        </w:rPr>
      </w:pPr>
      <w:r w:rsidRPr="009726D0">
        <w:rPr>
          <w:lang w:val="en-GB"/>
        </w:rPr>
        <w:t xml:space="preserve">Activity Based Funding Conference 2015 </w:t>
      </w:r>
    </w:p>
    <w:p w:rsidR="009726D0" w:rsidRPr="009726D0" w:rsidRDefault="009726D0" w:rsidP="009726D0">
      <w:pPr>
        <w:pStyle w:val="ListBullet"/>
        <w:rPr>
          <w:lang w:val="en-GB"/>
        </w:rPr>
      </w:pPr>
      <w:r w:rsidRPr="009726D0">
        <w:rPr>
          <w:lang w:val="en-GB"/>
        </w:rPr>
        <w:t>360+ delegates in Adelaide</w:t>
      </w:r>
    </w:p>
    <w:p w:rsidR="009726D0" w:rsidRPr="009726D0" w:rsidRDefault="009726D0" w:rsidP="009726D0">
      <w:pPr>
        <w:pStyle w:val="ListBullet"/>
        <w:rPr>
          <w:lang w:val="en-GB"/>
        </w:rPr>
      </w:pPr>
      <w:r w:rsidRPr="009726D0">
        <w:rPr>
          <w:lang w:val="en-GB"/>
        </w:rPr>
        <w:t>Five workshops</w:t>
      </w:r>
    </w:p>
    <w:p w:rsidR="009726D0" w:rsidRPr="009726D0" w:rsidRDefault="009726D0" w:rsidP="009726D0">
      <w:pPr>
        <w:pStyle w:val="ListBullet"/>
        <w:rPr>
          <w:lang w:val="en-GB"/>
        </w:rPr>
      </w:pPr>
      <w:r w:rsidRPr="009726D0">
        <w:rPr>
          <w:lang w:val="en-GB"/>
        </w:rPr>
        <w:t>10 plenary and panel sessions</w:t>
      </w:r>
    </w:p>
    <w:p w:rsidR="009726D0" w:rsidRPr="009726D0" w:rsidRDefault="009726D0" w:rsidP="009726D0">
      <w:pPr>
        <w:pStyle w:val="ListBullet"/>
        <w:rPr>
          <w:lang w:val="en-GB"/>
        </w:rPr>
      </w:pPr>
      <w:r w:rsidRPr="009726D0">
        <w:rPr>
          <w:lang w:val="en-GB"/>
        </w:rPr>
        <w:t>Over 40 concurrent sessions</w:t>
      </w:r>
    </w:p>
    <w:p w:rsidR="009726D0" w:rsidRPr="009726D0" w:rsidRDefault="009726D0" w:rsidP="009726D0">
      <w:pPr>
        <w:pStyle w:val="ListBullet"/>
        <w:rPr>
          <w:lang w:val="en-GB"/>
        </w:rPr>
      </w:pPr>
      <w:r w:rsidRPr="009726D0">
        <w:rPr>
          <w:lang w:val="en-GB"/>
        </w:rPr>
        <w:t>52 abstracts submitted.</w:t>
      </w:r>
    </w:p>
    <w:p w:rsidR="009726D0" w:rsidRPr="009726D0" w:rsidRDefault="009726D0" w:rsidP="009726D0">
      <w:pPr>
        <w:pStyle w:val="Heading3"/>
        <w:rPr>
          <w:lang w:val="en-GB"/>
        </w:rPr>
      </w:pPr>
      <w:r w:rsidRPr="009726D0">
        <w:rPr>
          <w:lang w:val="en-GB"/>
        </w:rPr>
        <w:t>Online</w:t>
      </w:r>
    </w:p>
    <w:p w:rsidR="009726D0" w:rsidRPr="009726D0" w:rsidRDefault="009726D0" w:rsidP="009726D0">
      <w:pPr>
        <w:pStyle w:val="ListBullet"/>
        <w:rPr>
          <w:lang w:val="en-GB"/>
        </w:rPr>
      </w:pPr>
      <w:r w:rsidRPr="009726D0">
        <w:rPr>
          <w:lang w:val="en-GB"/>
        </w:rPr>
        <w:t xml:space="preserve">Over 270,000 website visits </w:t>
      </w:r>
    </w:p>
    <w:p w:rsidR="009726D0" w:rsidRPr="009726D0" w:rsidRDefault="009726D0" w:rsidP="009726D0">
      <w:pPr>
        <w:pStyle w:val="ListBullet"/>
        <w:rPr>
          <w:lang w:val="en-GB"/>
        </w:rPr>
      </w:pPr>
      <w:r w:rsidRPr="009726D0">
        <w:rPr>
          <w:lang w:val="en-GB"/>
        </w:rPr>
        <w:t>310 mentions on Twitter</w:t>
      </w:r>
    </w:p>
    <w:p w:rsidR="009726D0" w:rsidRPr="009726D0" w:rsidRDefault="009726D0" w:rsidP="009726D0">
      <w:pPr>
        <w:pStyle w:val="ListBullet"/>
        <w:rPr>
          <w:lang w:val="en-GB"/>
        </w:rPr>
      </w:pPr>
      <w:r w:rsidRPr="009726D0">
        <w:rPr>
          <w:lang w:val="en-GB"/>
        </w:rPr>
        <w:t>231 Twitter followers</w:t>
      </w:r>
    </w:p>
    <w:p w:rsidR="009726D0" w:rsidRPr="009726D0" w:rsidRDefault="009726D0" w:rsidP="009726D0">
      <w:pPr>
        <w:pStyle w:val="ListBullet"/>
        <w:rPr>
          <w:lang w:val="en-GB"/>
        </w:rPr>
      </w:pPr>
      <w:r w:rsidRPr="009726D0">
        <w:rPr>
          <w:lang w:val="en-GB"/>
        </w:rPr>
        <w:t>348 LinkedIn followers.</w:t>
      </w:r>
    </w:p>
    <w:p w:rsidR="009726D0" w:rsidRPr="009726D0" w:rsidRDefault="009726D0" w:rsidP="009726D0">
      <w:pPr>
        <w:pStyle w:val="Heading3"/>
        <w:rPr>
          <w:lang w:val="en-GB"/>
        </w:rPr>
      </w:pPr>
      <w:r w:rsidRPr="009726D0">
        <w:rPr>
          <w:lang w:val="en-GB"/>
        </w:rPr>
        <w:t>Consultation</w:t>
      </w:r>
    </w:p>
    <w:p w:rsidR="009726D0" w:rsidRPr="009726D0" w:rsidRDefault="009726D0" w:rsidP="009726D0">
      <w:pPr>
        <w:pStyle w:val="ListBullet"/>
        <w:rPr>
          <w:lang w:val="en-GB"/>
        </w:rPr>
      </w:pPr>
      <w:r w:rsidRPr="009726D0">
        <w:rPr>
          <w:lang w:val="en-GB"/>
        </w:rPr>
        <w:t>1000+ stakeholders engaged throughout the year for public consultations</w:t>
      </w:r>
    </w:p>
    <w:p w:rsidR="009726D0" w:rsidRPr="009726D0" w:rsidRDefault="009726D0" w:rsidP="009726D0">
      <w:pPr>
        <w:pStyle w:val="ListBullet"/>
        <w:rPr>
          <w:lang w:val="en-GB"/>
        </w:rPr>
      </w:pPr>
      <w:r w:rsidRPr="009726D0">
        <w:rPr>
          <w:lang w:val="en-GB"/>
        </w:rPr>
        <w:t>Over 70 committee and working group meetings</w:t>
      </w:r>
    </w:p>
    <w:p w:rsidR="009726D0" w:rsidRPr="009726D0" w:rsidRDefault="009726D0" w:rsidP="009726D0">
      <w:pPr>
        <w:pStyle w:val="ListBullet"/>
        <w:rPr>
          <w:i/>
          <w:iCs/>
          <w:lang w:val="en-GB"/>
        </w:rPr>
      </w:pPr>
      <w:r w:rsidRPr="009726D0">
        <w:rPr>
          <w:lang w:val="en-GB"/>
        </w:rPr>
        <w:t xml:space="preserve">11 submissions on the </w:t>
      </w:r>
      <w:r w:rsidRPr="009726D0">
        <w:rPr>
          <w:i/>
          <w:iCs/>
          <w:lang w:val="en-GB"/>
        </w:rPr>
        <w:t>Work Program 2014–15</w:t>
      </w:r>
    </w:p>
    <w:p w:rsidR="009726D0" w:rsidRPr="009726D0" w:rsidRDefault="009726D0" w:rsidP="009726D0">
      <w:pPr>
        <w:pStyle w:val="ListBullet"/>
        <w:rPr>
          <w:lang w:val="en-GB"/>
        </w:rPr>
      </w:pPr>
      <w:r w:rsidRPr="009726D0">
        <w:rPr>
          <w:lang w:val="en-GB"/>
        </w:rPr>
        <w:t xml:space="preserve">27 submissions on the </w:t>
      </w:r>
      <w:r w:rsidRPr="009726D0">
        <w:rPr>
          <w:i/>
          <w:iCs/>
          <w:lang w:val="en-GB"/>
        </w:rPr>
        <w:t>Pricing Framework for Australian Public Hospital Services 2015–16</w:t>
      </w:r>
    </w:p>
    <w:p w:rsidR="009726D0" w:rsidRPr="009726D0" w:rsidRDefault="009726D0" w:rsidP="009726D0">
      <w:pPr>
        <w:pStyle w:val="ListBullet"/>
        <w:rPr>
          <w:lang w:val="en-GB"/>
        </w:rPr>
      </w:pPr>
      <w:r w:rsidRPr="009726D0">
        <w:rPr>
          <w:lang w:val="en-GB"/>
        </w:rPr>
        <w:t xml:space="preserve">29 submissions on the Development of the Australian Mental Health Care Classification </w:t>
      </w:r>
    </w:p>
    <w:p w:rsidR="009726D0" w:rsidRPr="00BB7121" w:rsidRDefault="009726D0" w:rsidP="009726D0">
      <w:pPr>
        <w:pStyle w:val="ListBullet"/>
      </w:pPr>
      <w:r w:rsidRPr="009726D0">
        <w:rPr>
          <w:lang w:val="en-GB"/>
        </w:rPr>
        <w:t>Eight written submissions on the Australian National Subacute and Non acute (AN</w:t>
      </w:r>
      <w:r w:rsidRPr="009726D0">
        <w:rPr>
          <w:lang w:val="en-GB"/>
        </w:rPr>
        <w:noBreakHyphen/>
        <w:t>SNAP) development and in</w:t>
      </w:r>
      <w:r w:rsidRPr="009726D0">
        <w:rPr>
          <w:lang w:val="en-GB"/>
        </w:rPr>
        <w:noBreakHyphen/>
        <w:t>person workshops.</w:t>
      </w:r>
    </w:p>
    <w:p w:rsidR="00BB7121" w:rsidRDefault="00BB7121" w:rsidP="00BB7121">
      <w:r>
        <w:br w:type="page"/>
      </w:r>
    </w:p>
    <w:p w:rsidR="00BB7121" w:rsidRDefault="00BB7121" w:rsidP="00BB7121">
      <w:pPr>
        <w:pStyle w:val="Heading1"/>
      </w:pPr>
      <w:bookmarkStart w:id="8" w:name="_Toc432437398"/>
      <w:r w:rsidRPr="00BB7121">
        <w:rPr>
          <w:caps w:val="0"/>
          <w:color w:val="FFFFFF" w:themeColor="background1"/>
          <w:sz w:val="32"/>
          <w:szCs w:val="32"/>
        </w:rPr>
        <w:lastRenderedPageBreak/>
        <w:t>Chapter 4</w:t>
      </w:r>
      <w:r w:rsidRPr="00BB7121">
        <w:rPr>
          <w:color w:val="FFFFFF" w:themeColor="background1"/>
        </w:rPr>
        <w:br/>
        <w:t>Management and Accountability</w:t>
      </w:r>
      <w:r w:rsidRPr="00142D10">
        <w:rPr>
          <w:noProof/>
          <w:color w:val="FFFFFF" w:themeColor="background1"/>
          <w:sz w:val="32"/>
          <w:szCs w:val="32"/>
        </w:rPr>
        <w:drawing>
          <wp:anchor distT="0" distB="0" distL="114300" distR="114300" simplePos="0" relativeHeight="251660288" behindDoc="1" locked="0" layoutInCell="0" allowOverlap="1" wp14:anchorId="12331B37" wp14:editId="4DA7BE82">
            <wp:simplePos x="0" y="0"/>
            <wp:positionH relativeFrom="page">
              <wp:align>left</wp:align>
            </wp:positionH>
            <wp:positionV relativeFrom="page">
              <wp:align>top</wp:align>
            </wp:positionV>
            <wp:extent cx="7560000" cy="1069200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8"/>
      <w:r>
        <w:br w:type="page"/>
      </w:r>
    </w:p>
    <w:p w:rsidR="00BB7121" w:rsidRPr="00BB7121" w:rsidRDefault="00BB7121" w:rsidP="00BB7121">
      <w:pPr>
        <w:pStyle w:val="Heading2"/>
        <w:rPr>
          <w:lang w:val="en-GB"/>
        </w:rPr>
      </w:pPr>
      <w:r w:rsidRPr="00BB7121">
        <w:rPr>
          <w:lang w:val="en-GB"/>
        </w:rPr>
        <w:lastRenderedPageBreak/>
        <w:t xml:space="preserve">Corporate governance </w:t>
      </w:r>
    </w:p>
    <w:p w:rsidR="00BB7121" w:rsidRPr="00BB7121" w:rsidRDefault="00BB7121" w:rsidP="00BB7121">
      <w:pPr>
        <w:pStyle w:val="Intro"/>
        <w:rPr>
          <w:lang w:val="en-GB"/>
        </w:rPr>
      </w:pPr>
      <w:r w:rsidRPr="00BB7121">
        <w:rPr>
          <w:lang w:val="en-GB"/>
        </w:rPr>
        <w:t xml:space="preserve">Effective corporate governance enables the Independent Hospital Pricing Authority (IHPA) to meet its obligations by managing risk effectively. It ensures that IHPA has effective decision-making processes and compliance systems in place and that the roles and accountabilities of our staff and the Pricing Authority are clearly defined and well understood. </w:t>
      </w:r>
    </w:p>
    <w:p w:rsidR="00BB7121" w:rsidRPr="00BB7121" w:rsidRDefault="00BB7121" w:rsidP="00BB7121">
      <w:pPr>
        <w:rPr>
          <w:lang w:val="en-GB"/>
        </w:rPr>
      </w:pPr>
      <w:r w:rsidRPr="00BB7121">
        <w:rPr>
          <w:lang w:val="en-GB"/>
        </w:rPr>
        <w:t xml:space="preserve">IHPA’s corporate governance framework establishes the structure by which good governance principles are embedded in policies, processes and systems within IHPA. It shapes how IHPA performs functions and activities. It contains elements that include: an internal control framework; an enterprise approach to risk management; positive assurance processes that confirm compliance with IHPA’s legal obligations; fraud control; and strategic business planning. IHPA ensures good governance practices are understood and embedded within the organisation through induction, regular training programs, acting on controls and regular assessments to confirm compliance with governance obligations. </w:t>
      </w:r>
    </w:p>
    <w:p w:rsidR="00BB7121" w:rsidRPr="00BB7121" w:rsidRDefault="00BB7121" w:rsidP="00BB7121">
      <w:pPr>
        <w:rPr>
          <w:lang w:val="en-GB"/>
        </w:rPr>
      </w:pPr>
      <w:r w:rsidRPr="00BB7121">
        <w:rPr>
          <w:lang w:val="en-GB"/>
        </w:rPr>
        <w:t xml:space="preserve">IHPA operates a comprehensive governance framework which is designed to serve the needs of stakeholders through the ongoing achievement of strategic and operational objectives. </w:t>
      </w:r>
    </w:p>
    <w:p w:rsidR="00BB7121" w:rsidRDefault="00BB7121" w:rsidP="00BB7121">
      <w:r>
        <w:br w:type="page"/>
      </w:r>
    </w:p>
    <w:p w:rsidR="00BB7121" w:rsidRDefault="00633CF1" w:rsidP="00633CF1">
      <w:pPr>
        <w:pStyle w:val="FigureHeading"/>
      </w:pPr>
      <w:r w:rsidRPr="00633CF1">
        <w:lastRenderedPageBreak/>
        <w:t xml:space="preserve">Figure </w:t>
      </w:r>
      <w:r w:rsidR="00D40799">
        <w:t>4</w:t>
      </w:r>
      <w:r w:rsidRPr="00633CF1">
        <w:t>: IHPA’s corporate governance model</w:t>
      </w:r>
    </w:p>
    <w:p w:rsidR="00633CF1" w:rsidRDefault="00633CF1" w:rsidP="00BB7121">
      <w:r>
        <w:rPr>
          <w:noProof/>
        </w:rPr>
        <w:drawing>
          <wp:inline distT="0" distB="0" distL="0" distR="0" wp14:anchorId="37445D8A" wp14:editId="54C54894">
            <wp:extent cx="6272916" cy="6830290"/>
            <wp:effectExtent l="0" t="0" r="0" b="8890"/>
            <wp:docPr id="32" name="Picture 32" descr="Figure four is entitled IHPA’s corporate governance model.&#10;It is a pyramid shaped organisation chart.&#10;First tier: Minister for Health&#10;Second tier: Pricing Authority&#10;Third tier: Chief Executive Officer&#10;Below third tier: Audit Risk and Compliance Committee, Executive Committee and Workplace Health and Safety Committee then Executive management.&#10;Fourth tier: Internal Control Environment &#10;Below fourth tier: Roles and responsibilities, Strategic &amp; business planning, Policies procedures &amp; business rules, Compliance, Risk management, Fraud control, Information, communication technology then Monitoring Communication.&#10;Fifth tier: Line Management.&#10;Outside of the pyramid &#10;Clinical Advisory Committee provides disclosure to the Minister for Health.&#10;Jurisdictional Advisory Committee, ABF Technical Advisory Committee, Stakeholder Advisory Committee and IHPA Working Groups provide communication to the third tier of the pyramid.&#10;The Council of Australian Governments provides an external audit function to the Minister for Health. &#10;The Standing Council on Health provides an external audit function for the Pricing Authority.&#10;Other Australian Government bodies (incl. Department of Finance &amp; Deregulation) provide external audit functions to the Chief Executive Officer.&#10;The Australian National Audit Office provides an external audit function to the Internal Control Environment. &#10;Measurement, monitoring and accountability are the responsibility of Line Management within the pyram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1753" cy="6829024"/>
                    </a:xfrm>
                    <a:prstGeom prst="rect">
                      <a:avLst/>
                    </a:prstGeom>
                  </pic:spPr>
                </pic:pic>
              </a:graphicData>
            </a:graphic>
          </wp:inline>
        </w:drawing>
      </w:r>
    </w:p>
    <w:p w:rsidR="00633CF1" w:rsidRDefault="00633CF1" w:rsidP="00BB7121">
      <w:r>
        <w:br w:type="page"/>
      </w:r>
    </w:p>
    <w:p w:rsidR="00733251" w:rsidRPr="00733251" w:rsidRDefault="00733251" w:rsidP="00733251">
      <w:pPr>
        <w:pStyle w:val="Heading3"/>
        <w:rPr>
          <w:lang w:val="en-GB"/>
        </w:rPr>
      </w:pPr>
      <w:r w:rsidRPr="00733251">
        <w:rPr>
          <w:lang w:val="en-GB"/>
        </w:rPr>
        <w:lastRenderedPageBreak/>
        <w:t xml:space="preserve">Governance initiatives </w:t>
      </w:r>
    </w:p>
    <w:p w:rsidR="00733251" w:rsidRPr="00733251" w:rsidRDefault="00733251" w:rsidP="00733251">
      <w:pPr>
        <w:rPr>
          <w:lang w:val="en-GB"/>
        </w:rPr>
      </w:pPr>
      <w:r w:rsidRPr="00733251">
        <w:rPr>
          <w:lang w:val="en-GB"/>
        </w:rPr>
        <w:t>During the 2014–15 financial year, IHPA continued to develop and implement policies and procedures that ensure good governance over IHPA’s business:</w:t>
      </w:r>
    </w:p>
    <w:p w:rsidR="00733251" w:rsidRPr="00733251" w:rsidRDefault="00733251" w:rsidP="00733251">
      <w:pPr>
        <w:pStyle w:val="ListBullet"/>
        <w:rPr>
          <w:lang w:val="en-GB"/>
        </w:rPr>
      </w:pPr>
      <w:r w:rsidRPr="00733251">
        <w:rPr>
          <w:lang w:val="en-GB"/>
        </w:rPr>
        <w:t xml:space="preserve">Continued to mature and embed a risk management approach that encourages managers to accept appropriate risks and decline unsuitable risks. </w:t>
      </w:r>
    </w:p>
    <w:p w:rsidR="00733251" w:rsidRPr="00733251" w:rsidRDefault="00733251" w:rsidP="00733251">
      <w:pPr>
        <w:pStyle w:val="ListBullet"/>
        <w:rPr>
          <w:lang w:val="en-GB"/>
        </w:rPr>
      </w:pPr>
      <w:r w:rsidRPr="00733251">
        <w:rPr>
          <w:lang w:val="en-GB"/>
        </w:rPr>
        <w:t>Updated the risk management policy, processes and systems to align them with the Commonwealth Risk Management Policy.</w:t>
      </w:r>
      <w:r w:rsidRPr="00733251">
        <w:rPr>
          <w:b/>
          <w:bCs/>
          <w:vertAlign w:val="superscript"/>
          <w:lang w:val="en-GB"/>
        </w:rPr>
        <w:footnoteReference w:id="1"/>
      </w:r>
      <w:r w:rsidRPr="00733251">
        <w:rPr>
          <w:lang w:val="en-GB"/>
        </w:rPr>
        <w:t xml:space="preserve"> </w:t>
      </w:r>
    </w:p>
    <w:p w:rsidR="00733251" w:rsidRPr="00733251" w:rsidRDefault="00733251" w:rsidP="00733251">
      <w:pPr>
        <w:pStyle w:val="ListBullet"/>
        <w:rPr>
          <w:lang w:val="en-GB"/>
        </w:rPr>
      </w:pPr>
      <w:r w:rsidRPr="00733251">
        <w:rPr>
          <w:lang w:val="en-GB"/>
        </w:rPr>
        <w:t>Ensured that reviews are undertaken of business risks in addition to refining and updating the monthly control report used to provide positive assurance of compliance.</w:t>
      </w:r>
    </w:p>
    <w:p w:rsidR="00733251" w:rsidRPr="00733251" w:rsidRDefault="00733251" w:rsidP="00733251">
      <w:pPr>
        <w:pStyle w:val="ListBullet"/>
        <w:rPr>
          <w:lang w:val="en-GB"/>
        </w:rPr>
      </w:pPr>
      <w:r w:rsidRPr="00733251">
        <w:rPr>
          <w:lang w:val="en-GB"/>
        </w:rPr>
        <w:t>Conducted the annual audit of Australian Government, state and territory legal data management obligations and confirmed IHPA’s policies, processes and systems for protecting data collected by IHPA meet all defined obligations.</w:t>
      </w:r>
    </w:p>
    <w:p w:rsidR="00733251" w:rsidRPr="00733251" w:rsidRDefault="00733251" w:rsidP="00733251">
      <w:pPr>
        <w:pStyle w:val="ListBullet"/>
        <w:rPr>
          <w:lang w:val="en-GB"/>
        </w:rPr>
      </w:pPr>
      <w:r w:rsidRPr="00733251">
        <w:rPr>
          <w:lang w:val="en-GB"/>
        </w:rPr>
        <w:t xml:space="preserve">Arranged for third party audits to be undertaken. Audit findings on IHPA’s procurement processes, compliance with the </w:t>
      </w:r>
      <w:r w:rsidRPr="00733251">
        <w:rPr>
          <w:i/>
          <w:iCs/>
          <w:lang w:val="en-GB"/>
        </w:rPr>
        <w:t>Public Governance Performance and Accountability Act 2013</w:t>
      </w:r>
      <w:r w:rsidRPr="00733251">
        <w:rPr>
          <w:lang w:val="en-GB"/>
        </w:rPr>
        <w:t xml:space="preserve"> (PGPA Act), employee entitlements, and fraud management processes have been reviewed by management and remediated.</w:t>
      </w:r>
    </w:p>
    <w:p w:rsidR="00733251" w:rsidRPr="00733251" w:rsidRDefault="00733251" w:rsidP="00733251">
      <w:pPr>
        <w:pStyle w:val="ListBullet"/>
        <w:rPr>
          <w:lang w:val="en-GB"/>
        </w:rPr>
      </w:pPr>
      <w:r w:rsidRPr="00733251">
        <w:rPr>
          <w:lang w:val="en-GB"/>
        </w:rPr>
        <w:t xml:space="preserve">Developed security protocols and processes and delivered training for third parties accessing IHPA data. </w:t>
      </w:r>
    </w:p>
    <w:p w:rsidR="00733251" w:rsidRPr="00733251" w:rsidRDefault="00733251" w:rsidP="00733251">
      <w:pPr>
        <w:pStyle w:val="ListBullet"/>
        <w:rPr>
          <w:lang w:val="en-GB"/>
        </w:rPr>
      </w:pPr>
      <w:r w:rsidRPr="00733251">
        <w:rPr>
          <w:lang w:val="en-GB"/>
        </w:rPr>
        <w:t>Developed and delivered training for existing staff and induction training for all new staff on protective security, fraud and the new compliance obligations under the PGPA Act.</w:t>
      </w:r>
    </w:p>
    <w:p w:rsidR="00733251" w:rsidRPr="00733251" w:rsidRDefault="00733251" w:rsidP="00733251">
      <w:pPr>
        <w:pStyle w:val="ListBullet"/>
        <w:rPr>
          <w:lang w:val="en-GB"/>
        </w:rPr>
      </w:pPr>
      <w:r w:rsidRPr="00733251">
        <w:rPr>
          <w:lang w:val="en-GB"/>
        </w:rPr>
        <w:t xml:space="preserve">Updated existing compliance registers for protective security and the </w:t>
      </w:r>
      <w:r w:rsidRPr="00733251">
        <w:rPr>
          <w:i/>
          <w:iCs/>
          <w:lang w:val="en-GB"/>
        </w:rPr>
        <w:t>National Health Reform Act 2011</w:t>
      </w:r>
      <w:r w:rsidRPr="00733251">
        <w:rPr>
          <w:lang w:val="en-GB"/>
        </w:rPr>
        <w:t xml:space="preserve"> to reflect changes arising from the PGPA Act.</w:t>
      </w:r>
    </w:p>
    <w:p w:rsidR="00733251" w:rsidRPr="00733251" w:rsidRDefault="00733251" w:rsidP="00733251">
      <w:pPr>
        <w:pStyle w:val="ListBullet"/>
        <w:rPr>
          <w:lang w:val="en-GB"/>
        </w:rPr>
      </w:pPr>
      <w:r w:rsidRPr="00733251">
        <w:rPr>
          <w:lang w:val="en-GB"/>
        </w:rPr>
        <w:t xml:space="preserve">Completed assurance processes that confirm compliance with the </w:t>
      </w:r>
      <w:r w:rsidRPr="00733251">
        <w:rPr>
          <w:i/>
          <w:iCs/>
          <w:lang w:val="en-GB"/>
        </w:rPr>
        <w:t>National Health Reform Act 2011</w:t>
      </w:r>
      <w:r w:rsidRPr="00733251">
        <w:rPr>
          <w:lang w:val="en-GB"/>
        </w:rPr>
        <w:t xml:space="preserve"> and the National Health Reform Agreement obligations.</w:t>
      </w:r>
    </w:p>
    <w:p w:rsidR="00733251" w:rsidRPr="00733251" w:rsidRDefault="00733251" w:rsidP="00733251">
      <w:pPr>
        <w:pStyle w:val="ListBullet"/>
        <w:rPr>
          <w:b/>
          <w:bCs/>
          <w:lang w:val="en-GB"/>
        </w:rPr>
      </w:pPr>
      <w:r w:rsidRPr="00733251">
        <w:rPr>
          <w:lang w:val="en-GB"/>
        </w:rPr>
        <w:t xml:space="preserve">Updated protective security and information, communication and technology to implement the top four strategies to prevent for cyber intrusion as required under the 2014 Australian Government </w:t>
      </w:r>
      <w:r w:rsidRPr="00733251">
        <w:rPr>
          <w:i/>
          <w:iCs/>
          <w:lang w:val="en-GB"/>
        </w:rPr>
        <w:t>Information Security Manual</w:t>
      </w:r>
      <w:r w:rsidRPr="00733251">
        <w:rPr>
          <w:lang w:val="en-GB"/>
        </w:rPr>
        <w:t>.</w:t>
      </w:r>
    </w:p>
    <w:p w:rsidR="00733251" w:rsidRDefault="00733251" w:rsidP="00733251">
      <w:pPr>
        <w:pStyle w:val="Heading3"/>
        <w:rPr>
          <w:lang w:val="en-GB"/>
        </w:rPr>
      </w:pPr>
      <w:r>
        <w:rPr>
          <w:lang w:val="en-GB"/>
        </w:rPr>
        <w:br w:type="page"/>
      </w:r>
    </w:p>
    <w:p w:rsidR="00733251" w:rsidRPr="00733251" w:rsidRDefault="00733251" w:rsidP="00733251">
      <w:pPr>
        <w:pStyle w:val="Heading3"/>
        <w:rPr>
          <w:lang w:val="en-GB"/>
        </w:rPr>
      </w:pPr>
      <w:r w:rsidRPr="00733251">
        <w:rPr>
          <w:lang w:val="en-GB"/>
        </w:rPr>
        <w:lastRenderedPageBreak/>
        <w:t>Developed and implemented a compliance assurance program for PGPA Risk management</w:t>
      </w:r>
    </w:p>
    <w:p w:rsidR="00733251" w:rsidRPr="00733251" w:rsidRDefault="00733251" w:rsidP="00733251">
      <w:pPr>
        <w:rPr>
          <w:lang w:val="en-GB"/>
        </w:rPr>
      </w:pPr>
      <w:r w:rsidRPr="00733251">
        <w:rPr>
          <w:lang w:val="en-GB"/>
        </w:rPr>
        <w:t xml:space="preserve">The ongoing management of risk is a central theme in designing IHPA’s governance practices. IHPA’s </w:t>
      </w:r>
      <w:r w:rsidRPr="00733251">
        <w:rPr>
          <w:i/>
          <w:iCs/>
          <w:lang w:val="en-GB"/>
        </w:rPr>
        <w:t>Risk Management Framework</w:t>
      </w:r>
      <w:r w:rsidRPr="00733251">
        <w:rPr>
          <w:lang w:val="en-GB"/>
        </w:rPr>
        <w:t xml:space="preserve"> considers how to identify, treat and monitor risks. It defines strategic governance mechanisms and assigns risks to particular roles to ensure that managers are responsible and accountable for defined risks. Tactical risks are managed through detailed policies, processes and systems. IHPA has implemented a system of risk delegates who are empowered to accept or decline tactical risks. Together, these risk management techniques have enabled the organisation to adopt an enterprise wide view of risk where staff use appropriate risk management tools that meet their immediate business needs and assist in achieving optimised business outcomes. </w:t>
      </w:r>
    </w:p>
    <w:p w:rsidR="00733251" w:rsidRPr="00733251" w:rsidRDefault="00733251" w:rsidP="00733251">
      <w:pPr>
        <w:rPr>
          <w:lang w:val="en-GB"/>
        </w:rPr>
      </w:pPr>
      <w:r w:rsidRPr="00733251">
        <w:rPr>
          <w:lang w:val="en-GB"/>
        </w:rPr>
        <w:t xml:space="preserve">IHPA’s approach to risk allows managers to treat risks in different ways as required by the needs of each task. Tools are available that assist management to deal with strategic, operational and tactical risks. Assessing, treating and accepting risks have been integrated into the decision-making processes. The risk management approach adopted by IHPA is consistent with AS/NZS ISO 31000:2009 </w:t>
      </w:r>
      <w:r w:rsidRPr="00733251">
        <w:rPr>
          <w:i/>
          <w:iCs/>
          <w:lang w:val="en-GB"/>
        </w:rPr>
        <w:t>Risk management—Principles and Guidelines.</w:t>
      </w:r>
      <w:r w:rsidRPr="00733251">
        <w:rPr>
          <w:b/>
          <w:bCs/>
          <w:vertAlign w:val="superscript"/>
          <w:lang w:val="en-GB"/>
        </w:rPr>
        <w:footnoteReference w:id="2"/>
      </w:r>
    </w:p>
    <w:p w:rsidR="00733251" w:rsidRPr="00733251" w:rsidRDefault="00733251" w:rsidP="00733251">
      <w:pPr>
        <w:rPr>
          <w:lang w:val="en-GB"/>
        </w:rPr>
      </w:pPr>
      <w:r w:rsidRPr="00733251">
        <w:rPr>
          <w:lang w:val="en-GB"/>
        </w:rPr>
        <w:t>The Pricing Authority and senior management committees routinely consider emerging and ongoing risks that may impact upon IHPA achieving its objectives. These periodic risk assessments allow IHPA to identify critical issues and take action to mitigate those risks. The reviews enable management to take advantage of opportunities as they arise. IHPA’s strategic risk register was regularly reviewed and updated in 2014–15, and each revision of the register endorsed by IHPA’s Executive, the Audit, Risk and Compliance (ARC) Committee and the Pricing Authority.</w:t>
      </w:r>
    </w:p>
    <w:p w:rsidR="00733251" w:rsidRPr="00733251" w:rsidRDefault="00733251" w:rsidP="00733251">
      <w:pPr>
        <w:rPr>
          <w:lang w:val="en-GB"/>
        </w:rPr>
      </w:pPr>
      <w:r w:rsidRPr="00733251">
        <w:rPr>
          <w:lang w:val="en-GB"/>
        </w:rPr>
        <w:t xml:space="preserve">IHPA has a mature enterprise risk management framework in place and risk management is considered a business as usual activity for all IHPA staff. </w:t>
      </w:r>
    </w:p>
    <w:p w:rsidR="00733251" w:rsidRPr="00733251" w:rsidRDefault="00733251" w:rsidP="00733251">
      <w:pPr>
        <w:pStyle w:val="Heading3"/>
        <w:rPr>
          <w:lang w:val="en-GB"/>
        </w:rPr>
      </w:pPr>
      <w:r w:rsidRPr="00733251">
        <w:rPr>
          <w:lang w:val="en-GB"/>
        </w:rPr>
        <w:t xml:space="preserve">Compliance </w:t>
      </w:r>
    </w:p>
    <w:p w:rsidR="00733251" w:rsidRDefault="00733251" w:rsidP="00BB7121">
      <w:pPr>
        <w:rPr>
          <w:lang w:val="en-GB"/>
        </w:rPr>
      </w:pPr>
      <w:r w:rsidRPr="00733251">
        <w:rPr>
          <w:lang w:val="en-GB"/>
        </w:rPr>
        <w:t xml:space="preserve">IHPA has a broad range of compliance obligations including key statutory obligations set out in the </w:t>
      </w:r>
      <w:r w:rsidRPr="00733251">
        <w:rPr>
          <w:i/>
          <w:iCs/>
          <w:lang w:val="en-GB"/>
        </w:rPr>
        <w:t>National Health Reform Act 2011</w:t>
      </w:r>
      <w:r w:rsidRPr="00733251">
        <w:rPr>
          <w:lang w:val="en-GB"/>
        </w:rPr>
        <w:t xml:space="preserve"> (the Act) and the National Health Reform Agreement (NHRA) the </w:t>
      </w:r>
      <w:r w:rsidRPr="00733251">
        <w:rPr>
          <w:i/>
          <w:iCs/>
          <w:lang w:val="en-GB"/>
        </w:rPr>
        <w:t>Public Governance Performance and Accountability Act 2013</w:t>
      </w:r>
      <w:r w:rsidRPr="00733251">
        <w:rPr>
          <w:lang w:val="en-GB"/>
        </w:rPr>
        <w:t xml:space="preserve"> and the </w:t>
      </w:r>
      <w:r w:rsidRPr="00733251">
        <w:rPr>
          <w:i/>
          <w:iCs/>
          <w:lang w:val="en-GB"/>
        </w:rPr>
        <w:t>Public Governance Performance and Accountability Rule 2014</w:t>
      </w:r>
      <w:r w:rsidRPr="00733251">
        <w:rPr>
          <w:lang w:val="en-GB"/>
        </w:rPr>
        <w:t>. Other legal and compliance obligations include those relating to employees, work health and safety, privacy, freedom of information, intellectual property, protective security, website accessibility and records management.</w:t>
      </w:r>
    </w:p>
    <w:p w:rsidR="00733251" w:rsidRPr="00733251" w:rsidRDefault="00733251" w:rsidP="00733251">
      <w:pPr>
        <w:rPr>
          <w:lang w:val="en-GB"/>
        </w:rPr>
      </w:pPr>
      <w:r w:rsidRPr="00733251">
        <w:rPr>
          <w:lang w:val="en-GB"/>
        </w:rPr>
        <w:t xml:space="preserve">In the 2014–15 financial year, following the introduction of the PGPA Act, IHPA developed and implemented an assurance program that assesses compliance quarterly and uses this evidence to support the annual certificate of compliance. IHPA also updated its Corporate Plan consistent with the requirements of s. 25 of the PGPA Act. It is currently updating its Corporate Plan for the next reporting period. </w:t>
      </w:r>
    </w:p>
    <w:p w:rsidR="00733251" w:rsidRPr="00733251" w:rsidRDefault="00733251" w:rsidP="00733251">
      <w:pPr>
        <w:rPr>
          <w:lang w:val="en-GB"/>
        </w:rPr>
      </w:pPr>
      <w:r w:rsidRPr="00733251">
        <w:rPr>
          <w:lang w:val="en-GB"/>
        </w:rPr>
        <w:lastRenderedPageBreak/>
        <w:t xml:space="preserve">A quarterly assurance register of compliance with the Act and the NHRA was completed. This register assigns responsibility for each section of the Act and schedule in the agreement to particular managers who are required to provide quarterly formal confirmations to the compliance team that they have met their obligations under the Act and the NHRA. </w:t>
      </w:r>
    </w:p>
    <w:p w:rsidR="00733251" w:rsidRPr="00733251" w:rsidRDefault="00733251" w:rsidP="00733251">
      <w:pPr>
        <w:rPr>
          <w:lang w:val="en-GB"/>
        </w:rPr>
      </w:pPr>
      <w:r w:rsidRPr="00733251">
        <w:rPr>
          <w:lang w:val="en-GB"/>
        </w:rPr>
        <w:t xml:space="preserve">A system of controls monitors approved delegates’ use of powers defined in the Act and NHRA. This system designed in a previous financial year continued to provide the Pricing Authority with assurance that IHPA is correctly using its powers. </w:t>
      </w:r>
    </w:p>
    <w:p w:rsidR="00733251" w:rsidRPr="00733251" w:rsidRDefault="00733251" w:rsidP="00733251">
      <w:pPr>
        <w:rPr>
          <w:lang w:val="en-GB"/>
        </w:rPr>
      </w:pPr>
      <w:r w:rsidRPr="00733251">
        <w:rPr>
          <w:lang w:val="en-GB"/>
        </w:rPr>
        <w:t xml:space="preserve">The Act and NHRA compliance registers and controls were tabled and approved by the Pricing Authority and provided to IHPA’s ARC Committee. </w:t>
      </w:r>
    </w:p>
    <w:p w:rsidR="00733251" w:rsidRPr="00733251" w:rsidRDefault="00733251" w:rsidP="00733251">
      <w:pPr>
        <w:rPr>
          <w:lang w:val="en-GB"/>
        </w:rPr>
      </w:pPr>
      <w:r w:rsidRPr="00733251">
        <w:rPr>
          <w:lang w:val="en-GB"/>
        </w:rPr>
        <w:t xml:space="preserve">IHPA submitted its first digital transfer to the National Archives of Australia (NAA). Collaboration between IHPA and NAA enabled the digital transfer process to be tested as part of the transfer acceptance, evaluation and assessment. </w:t>
      </w:r>
    </w:p>
    <w:p w:rsidR="00733251" w:rsidRPr="00733251" w:rsidRDefault="00733251" w:rsidP="00733251">
      <w:pPr>
        <w:rPr>
          <w:lang w:val="en-GB"/>
        </w:rPr>
      </w:pPr>
      <w:r w:rsidRPr="00733251">
        <w:rPr>
          <w:lang w:val="en-GB"/>
        </w:rPr>
        <w:t>IHPA has an ongoing program of assessing if its compliance and controls should be expanded or reduced to meet the current risks contained in its legal and compliance obligations.</w:t>
      </w:r>
    </w:p>
    <w:p w:rsidR="00733251" w:rsidRPr="00733251" w:rsidRDefault="00733251" w:rsidP="00733251">
      <w:pPr>
        <w:pStyle w:val="Heading3"/>
        <w:rPr>
          <w:lang w:val="en-GB"/>
        </w:rPr>
      </w:pPr>
      <w:r w:rsidRPr="00733251">
        <w:rPr>
          <w:lang w:val="en-GB"/>
        </w:rPr>
        <w:t>Audit, Risk and Compliance committee</w:t>
      </w:r>
    </w:p>
    <w:p w:rsidR="00733251" w:rsidRPr="00733251" w:rsidRDefault="00733251" w:rsidP="00733251">
      <w:pPr>
        <w:rPr>
          <w:lang w:val="en-GB"/>
        </w:rPr>
      </w:pPr>
      <w:r w:rsidRPr="00733251">
        <w:rPr>
          <w:lang w:val="en-GB"/>
        </w:rPr>
        <w:t>IHPA’s Audit, Risk and Compliance (ARC) Committee provides independent advice to assist the Chief Executive Officer, the Executive Committee and the Pricing Authority manage IHPA’s financial management and organisational risk. Assisted by internal and external auditors, it oversees the production of financial statements and quality assured the strategic risk register.</w:t>
      </w:r>
    </w:p>
    <w:p w:rsidR="00733251" w:rsidRPr="00733251" w:rsidRDefault="00733251" w:rsidP="00733251">
      <w:pPr>
        <w:rPr>
          <w:lang w:val="en-GB"/>
        </w:rPr>
      </w:pPr>
      <w:r w:rsidRPr="00733251">
        <w:rPr>
          <w:lang w:val="en-GB"/>
        </w:rPr>
        <w:t>The ARC Committee is made up of three external members who have experience in business, the health sector and government. At 30 June 2015, members of the ARC Committee comprised:</w:t>
      </w:r>
    </w:p>
    <w:p w:rsidR="00733251" w:rsidRPr="00733251" w:rsidRDefault="00733251" w:rsidP="00F943FE">
      <w:pPr>
        <w:pStyle w:val="ListBullet"/>
        <w:rPr>
          <w:lang w:val="en-GB"/>
        </w:rPr>
      </w:pPr>
      <w:r w:rsidRPr="00733251">
        <w:rPr>
          <w:lang w:val="en-GB"/>
        </w:rPr>
        <w:t>Robert Butterworth, Chair and Independent member</w:t>
      </w:r>
    </w:p>
    <w:p w:rsidR="00733251" w:rsidRPr="00733251" w:rsidRDefault="00733251" w:rsidP="00F943FE">
      <w:pPr>
        <w:pStyle w:val="ListBullet"/>
        <w:rPr>
          <w:lang w:val="en-GB"/>
        </w:rPr>
      </w:pPr>
      <w:r w:rsidRPr="00733251">
        <w:rPr>
          <w:lang w:val="en-GB"/>
        </w:rPr>
        <w:t>Angela Diamond, Independent member</w:t>
      </w:r>
    </w:p>
    <w:p w:rsidR="00733251" w:rsidRPr="00733251" w:rsidRDefault="00733251" w:rsidP="00F943FE">
      <w:pPr>
        <w:pStyle w:val="ListBullet"/>
        <w:rPr>
          <w:lang w:val="en-GB"/>
        </w:rPr>
      </w:pPr>
      <w:r w:rsidRPr="00733251">
        <w:rPr>
          <w:lang w:val="en-GB"/>
        </w:rPr>
        <w:t>Alan Bansemer, Pricing Authority member.</w:t>
      </w:r>
    </w:p>
    <w:p w:rsidR="00733251" w:rsidRPr="00733251" w:rsidRDefault="00733251" w:rsidP="00733251">
      <w:pPr>
        <w:rPr>
          <w:lang w:val="en-GB"/>
        </w:rPr>
      </w:pPr>
      <w:r w:rsidRPr="00733251">
        <w:rPr>
          <w:lang w:val="en-GB"/>
        </w:rPr>
        <w:t xml:space="preserve">Three management representatives including the Chief Financial Officer / Chief Operating Officer, Finance Manager and Risk and Compliance Manager also attend. In 2014–15, the Committee met five times. </w:t>
      </w:r>
    </w:p>
    <w:p w:rsidR="00733251" w:rsidRDefault="00733251" w:rsidP="00733251">
      <w:pPr>
        <w:pStyle w:val="Heading3"/>
        <w:rPr>
          <w:lang w:val="en-GB"/>
        </w:rPr>
      </w:pPr>
      <w:r>
        <w:rPr>
          <w:lang w:val="en-GB"/>
        </w:rPr>
        <w:br w:type="page"/>
      </w:r>
    </w:p>
    <w:p w:rsidR="00733251" w:rsidRPr="00733251" w:rsidRDefault="00733251" w:rsidP="00733251">
      <w:pPr>
        <w:pStyle w:val="Heading3"/>
        <w:rPr>
          <w:lang w:val="en-GB"/>
        </w:rPr>
      </w:pPr>
      <w:r w:rsidRPr="00733251">
        <w:rPr>
          <w:lang w:val="en-GB"/>
        </w:rPr>
        <w:lastRenderedPageBreak/>
        <w:t xml:space="preserve">Fraud Control Plan </w:t>
      </w:r>
    </w:p>
    <w:p w:rsidR="00733251" w:rsidRPr="00733251" w:rsidRDefault="00733251" w:rsidP="00733251">
      <w:pPr>
        <w:rPr>
          <w:lang w:val="en-GB"/>
        </w:rPr>
      </w:pPr>
      <w:r w:rsidRPr="00733251">
        <w:rPr>
          <w:lang w:val="en-GB"/>
        </w:rPr>
        <w:t xml:space="preserve">IHPA has a requirement to implement prevent, detect and deal with fraud. We recognise that minimising fraud risk demands that staff and suppliers operate to the highest standards of ethics and integrity. The preparation and regular review of the </w:t>
      </w:r>
      <w:r w:rsidRPr="00733251">
        <w:rPr>
          <w:i/>
          <w:iCs/>
          <w:lang w:val="en-GB"/>
        </w:rPr>
        <w:t>Fraud Control Plan</w:t>
      </w:r>
      <w:r w:rsidRPr="00733251">
        <w:rPr>
          <w:lang w:val="en-GB"/>
        </w:rPr>
        <w:t xml:space="preserve"> is considered to be an essential component of effective governance.</w:t>
      </w:r>
    </w:p>
    <w:p w:rsidR="00733251" w:rsidRPr="00733251" w:rsidRDefault="00733251" w:rsidP="00733251">
      <w:pPr>
        <w:rPr>
          <w:lang w:val="en-GB"/>
        </w:rPr>
      </w:pPr>
      <w:r w:rsidRPr="00733251">
        <w:rPr>
          <w:lang w:val="en-GB"/>
        </w:rPr>
        <w:t xml:space="preserve">In 2014–15, IHPA reviewed and updated its </w:t>
      </w:r>
      <w:r w:rsidRPr="00733251">
        <w:rPr>
          <w:i/>
          <w:iCs/>
          <w:lang w:val="en-GB"/>
        </w:rPr>
        <w:t>Fraud Control Plan</w:t>
      </w:r>
      <w:r w:rsidRPr="00733251">
        <w:rPr>
          <w:lang w:val="en-GB"/>
        </w:rPr>
        <w:t xml:space="preserve"> to encompass the requirements under PGPA Fraud Rule</w:t>
      </w:r>
      <w:r w:rsidRPr="00733251">
        <w:rPr>
          <w:b/>
          <w:bCs/>
          <w:vertAlign w:val="superscript"/>
          <w:lang w:val="en-GB"/>
        </w:rPr>
        <w:footnoteReference w:id="3"/>
      </w:r>
      <w:r w:rsidRPr="00733251">
        <w:rPr>
          <w:lang w:val="en-GB"/>
        </w:rPr>
        <w:t xml:space="preserve"> and the Commonwealth Fraud Policy. It also developed a fraud awareness statement for staff summarising their obligations and the relevant policies that include the controls IHPA has in place to prevent, detect and manage fraud. All staff were required to complete the Commonwealth fraud awareness training. </w:t>
      </w:r>
    </w:p>
    <w:p w:rsidR="00733251" w:rsidRPr="00733251" w:rsidRDefault="00733251" w:rsidP="00733251">
      <w:pPr>
        <w:rPr>
          <w:lang w:val="en-GB"/>
        </w:rPr>
      </w:pPr>
      <w:r w:rsidRPr="00733251">
        <w:rPr>
          <w:lang w:val="en-GB"/>
        </w:rPr>
        <w:t>Fraud control is recognised as an element of the total risk and controls system. Effective fraud mitigation is achieved by integrating fraud control into IHPA’s overall systems of risk management and controls are monitored that are designed to identify both data and financial fraud.</w:t>
      </w:r>
    </w:p>
    <w:p w:rsidR="00733251" w:rsidRPr="00733251" w:rsidRDefault="00733251" w:rsidP="00733251">
      <w:pPr>
        <w:rPr>
          <w:lang w:val="en-GB"/>
        </w:rPr>
      </w:pPr>
      <w:r w:rsidRPr="00733251">
        <w:rPr>
          <w:lang w:val="en-GB"/>
        </w:rPr>
        <w:t xml:space="preserve">IHPA’s revised </w:t>
      </w:r>
      <w:r w:rsidRPr="00733251">
        <w:rPr>
          <w:i/>
          <w:iCs/>
          <w:lang w:val="en-GB"/>
        </w:rPr>
        <w:t>Fraud and Anti-Corruption Control Plan</w:t>
      </w:r>
      <w:r w:rsidRPr="00733251">
        <w:rPr>
          <w:lang w:val="en-GB"/>
        </w:rPr>
        <w:t xml:space="preserve"> was tabled at and approved by IHPA Executive and the ARC committee. </w:t>
      </w:r>
    </w:p>
    <w:p w:rsidR="00733251" w:rsidRPr="00733251" w:rsidRDefault="00733251" w:rsidP="00733251">
      <w:pPr>
        <w:pStyle w:val="Heading3"/>
        <w:rPr>
          <w:lang w:val="en-GB"/>
        </w:rPr>
      </w:pPr>
      <w:r w:rsidRPr="00733251">
        <w:rPr>
          <w:lang w:val="en-GB"/>
        </w:rPr>
        <w:t>Internal audit</w:t>
      </w:r>
    </w:p>
    <w:p w:rsidR="00733251" w:rsidRPr="00733251" w:rsidRDefault="00733251" w:rsidP="00733251">
      <w:pPr>
        <w:rPr>
          <w:lang w:val="en-GB"/>
        </w:rPr>
      </w:pPr>
      <w:r w:rsidRPr="00733251">
        <w:rPr>
          <w:lang w:val="en-GB"/>
        </w:rPr>
        <w:t xml:space="preserve">To ensure continuous monitoring of its risk profile and governance practices, IHPA has engaged internal auditors who have developed an audit plan relevant to IHPA’s business operations. Audit remediation plans are approved by IHPA’s Executive and confirmed by the ARC committee. </w:t>
      </w:r>
    </w:p>
    <w:p w:rsidR="00733251" w:rsidRPr="00733251" w:rsidRDefault="00733251" w:rsidP="00733251">
      <w:pPr>
        <w:pStyle w:val="Heading3"/>
        <w:rPr>
          <w:lang w:val="en-GB"/>
        </w:rPr>
      </w:pPr>
      <w:r w:rsidRPr="00733251">
        <w:rPr>
          <w:lang w:val="en-GB"/>
        </w:rPr>
        <w:t>External oversight</w:t>
      </w:r>
    </w:p>
    <w:p w:rsidR="00733251" w:rsidRPr="00733251" w:rsidRDefault="00733251" w:rsidP="00733251">
      <w:pPr>
        <w:rPr>
          <w:lang w:val="en-GB"/>
        </w:rPr>
      </w:pPr>
      <w:r w:rsidRPr="00733251">
        <w:rPr>
          <w:lang w:val="en-GB"/>
        </w:rPr>
        <w:t xml:space="preserve">In 2014–15 no judicial administrative tribunal decisions relating to IHPA were handed down. </w:t>
      </w:r>
    </w:p>
    <w:p w:rsidR="00733251" w:rsidRPr="00733251" w:rsidRDefault="00733251" w:rsidP="00733251">
      <w:pPr>
        <w:rPr>
          <w:lang w:val="en-GB"/>
        </w:rPr>
      </w:pPr>
      <w:r w:rsidRPr="00733251">
        <w:rPr>
          <w:lang w:val="en-GB"/>
        </w:rPr>
        <w:t>The Australian Government Solicitor provided advice on IHPA’s management of IHPA protected data and concluded that IHPA was managing these data sets in accordance with the Australian Government, state and territory privacy requirements.</w:t>
      </w:r>
    </w:p>
    <w:p w:rsidR="00733251" w:rsidRPr="00733251" w:rsidRDefault="00733251" w:rsidP="00733251">
      <w:pPr>
        <w:rPr>
          <w:lang w:val="en-GB"/>
        </w:rPr>
      </w:pPr>
      <w:r w:rsidRPr="00733251">
        <w:rPr>
          <w:lang w:val="en-GB"/>
        </w:rPr>
        <w:t xml:space="preserve">A specialised external ICT security company was commissioned to undertake an assessment of IHPA’s computer systems’ compliance with the Australian Government’s </w:t>
      </w:r>
      <w:r w:rsidRPr="00733251">
        <w:rPr>
          <w:i/>
          <w:iCs/>
          <w:lang w:val="en-GB"/>
        </w:rPr>
        <w:t>Information Security Manual</w:t>
      </w:r>
      <w:r w:rsidRPr="00733251">
        <w:rPr>
          <w:lang w:val="en-GB"/>
        </w:rPr>
        <w:t>. During the course of the audit substantial compliance was noted and all findings were remediated.</w:t>
      </w:r>
    </w:p>
    <w:p w:rsidR="00733251" w:rsidRPr="00733251" w:rsidRDefault="00733251" w:rsidP="00733251">
      <w:pPr>
        <w:rPr>
          <w:lang w:val="en-GB"/>
        </w:rPr>
      </w:pPr>
      <w:r w:rsidRPr="00733251">
        <w:rPr>
          <w:lang w:val="en-GB"/>
        </w:rPr>
        <w:t xml:space="preserve">A Certificate of Compliance was sent to the Auditor-General confirming compliance with IHPA’s obligations under the Australian Government </w:t>
      </w:r>
      <w:r w:rsidRPr="00733251">
        <w:rPr>
          <w:i/>
          <w:iCs/>
          <w:lang w:val="en-GB"/>
        </w:rPr>
        <w:t>Protective Security Policy Framework</w:t>
      </w:r>
      <w:r w:rsidRPr="00733251">
        <w:rPr>
          <w:lang w:val="en-GB"/>
        </w:rPr>
        <w:t xml:space="preserve">. </w:t>
      </w:r>
    </w:p>
    <w:p w:rsidR="00733251" w:rsidRPr="00733251" w:rsidRDefault="00733251" w:rsidP="00733251">
      <w:pPr>
        <w:rPr>
          <w:lang w:val="en-GB"/>
        </w:rPr>
      </w:pPr>
      <w:r w:rsidRPr="00733251">
        <w:rPr>
          <w:lang w:val="en-GB"/>
        </w:rPr>
        <w:t xml:space="preserve">There were no reports on the operations of IHPA conducted by the Parliamentary Committee of the Commonwealth Ombudsman in 2014–15. </w:t>
      </w:r>
    </w:p>
    <w:p w:rsidR="00733251" w:rsidRPr="00733251" w:rsidRDefault="00733251" w:rsidP="00733251">
      <w:pPr>
        <w:pStyle w:val="Heading3"/>
        <w:rPr>
          <w:lang w:val="en-GB"/>
        </w:rPr>
      </w:pPr>
      <w:r w:rsidRPr="00733251">
        <w:rPr>
          <w:lang w:val="en-GB"/>
        </w:rPr>
        <w:lastRenderedPageBreak/>
        <w:t xml:space="preserve">Purchasing/contracting </w:t>
      </w:r>
    </w:p>
    <w:p w:rsidR="00733251" w:rsidRPr="00733251" w:rsidRDefault="00733251" w:rsidP="00733251">
      <w:pPr>
        <w:rPr>
          <w:lang w:val="en-GB"/>
        </w:rPr>
      </w:pPr>
      <w:r w:rsidRPr="00733251">
        <w:rPr>
          <w:lang w:val="en-GB"/>
        </w:rPr>
        <w:t>In 2014–15, IHPA complied with the government’s purchasing policies as stated in the Commonwealth Government Procurement Rules</w:t>
      </w:r>
      <w:r w:rsidRPr="00733251">
        <w:rPr>
          <w:b/>
          <w:bCs/>
          <w:vertAlign w:val="superscript"/>
          <w:lang w:val="en-GB"/>
        </w:rPr>
        <w:t>4</w:t>
      </w:r>
      <w:r w:rsidRPr="00733251">
        <w:rPr>
          <w:lang w:val="en-GB"/>
        </w:rPr>
        <w:t>. IHPA’s procurement framework encourages competition, value for money, transparency and accountability. All contracts were awarded after ensuring the efficient, effective, economical and ethical use of Australian Government resources.</w:t>
      </w:r>
    </w:p>
    <w:p w:rsidR="00733251" w:rsidRPr="00733251" w:rsidRDefault="00733251" w:rsidP="00733251">
      <w:pPr>
        <w:rPr>
          <w:lang w:val="en-GB"/>
        </w:rPr>
      </w:pPr>
      <w:r w:rsidRPr="00733251">
        <w:rPr>
          <w:lang w:val="en-GB"/>
        </w:rPr>
        <w:t xml:space="preserve">In 2014–15 no contracts were exempt from reporting on AusTender on the basis that publishing contract details would disclose exempt matters under the </w:t>
      </w:r>
      <w:r w:rsidRPr="00733251">
        <w:rPr>
          <w:i/>
          <w:iCs/>
          <w:lang w:val="en-GB"/>
        </w:rPr>
        <w:t>Freedom of Information Act 1982</w:t>
      </w:r>
      <w:r w:rsidRPr="00733251">
        <w:rPr>
          <w:b/>
          <w:bCs/>
          <w:vertAlign w:val="superscript"/>
          <w:lang w:val="en-GB"/>
        </w:rPr>
        <w:footnoteReference w:id="4"/>
      </w:r>
      <w:r w:rsidRPr="00733251">
        <w:rPr>
          <w:lang w:val="en-GB"/>
        </w:rPr>
        <w:t xml:space="preserve">. All IHPA awarded contracts valued at $100,000 (GST inclusive) or greater, contained standard clauses granting the Auditor-General access to contractor’s premises. </w:t>
      </w:r>
    </w:p>
    <w:p w:rsidR="00733251" w:rsidRPr="00733251" w:rsidRDefault="00733251" w:rsidP="00733251">
      <w:pPr>
        <w:pStyle w:val="Heading3"/>
        <w:rPr>
          <w:lang w:val="en-GB"/>
        </w:rPr>
      </w:pPr>
      <w:r w:rsidRPr="00733251">
        <w:rPr>
          <w:lang w:val="en-GB"/>
        </w:rPr>
        <w:t>Consultants</w:t>
      </w:r>
    </w:p>
    <w:p w:rsidR="00733251" w:rsidRPr="00733251" w:rsidRDefault="00733251" w:rsidP="00733251">
      <w:pPr>
        <w:rPr>
          <w:lang w:val="en-GB"/>
        </w:rPr>
      </w:pPr>
      <w:r w:rsidRPr="00733251">
        <w:rPr>
          <w:lang w:val="en-GB"/>
        </w:rPr>
        <w:t>IHPA engages consultants to supplement its specialist expertise or when independent research, review or assessment is required. Consultants are typically engaged to either:</w:t>
      </w:r>
    </w:p>
    <w:p w:rsidR="00733251" w:rsidRPr="00733251" w:rsidRDefault="00733251" w:rsidP="00733251">
      <w:pPr>
        <w:pStyle w:val="ListBullet"/>
        <w:rPr>
          <w:lang w:val="en-GB"/>
        </w:rPr>
      </w:pPr>
      <w:r w:rsidRPr="00733251">
        <w:rPr>
          <w:lang w:val="en-GB"/>
        </w:rPr>
        <w:t>Investigate or diagnose a defined issue or problem;</w:t>
      </w:r>
    </w:p>
    <w:p w:rsidR="00733251" w:rsidRPr="00733251" w:rsidRDefault="00733251" w:rsidP="00733251">
      <w:pPr>
        <w:pStyle w:val="ListBullet"/>
        <w:rPr>
          <w:lang w:val="en-GB"/>
        </w:rPr>
      </w:pPr>
      <w:r w:rsidRPr="00733251">
        <w:rPr>
          <w:lang w:val="en-GB"/>
        </w:rPr>
        <w:t xml:space="preserve">Carry out defined reviews or evaluations; or </w:t>
      </w:r>
    </w:p>
    <w:p w:rsidR="00733251" w:rsidRPr="00733251" w:rsidRDefault="00733251" w:rsidP="00733251">
      <w:pPr>
        <w:pStyle w:val="ListBullet"/>
        <w:rPr>
          <w:lang w:val="en-GB"/>
        </w:rPr>
      </w:pPr>
      <w:r w:rsidRPr="00733251">
        <w:rPr>
          <w:lang w:val="en-GB"/>
        </w:rPr>
        <w:t>Provide independent advice, information or creative solutions to assist in the decision making.</w:t>
      </w:r>
    </w:p>
    <w:p w:rsidR="00733251" w:rsidRPr="00733251" w:rsidRDefault="00733251" w:rsidP="00733251">
      <w:pPr>
        <w:rPr>
          <w:lang w:val="en-GB"/>
        </w:rPr>
      </w:pPr>
      <w:r w:rsidRPr="00733251">
        <w:rPr>
          <w:lang w:val="en-GB"/>
        </w:rPr>
        <w:t xml:space="preserve">Prior to engaging consultants, IHPA takes into account the skills and resources required for the task, the skills available internally, and the cost-effectiveness of engaging external expertise. The decision to engage a consultant is made in accordance with the </w:t>
      </w:r>
      <w:r w:rsidRPr="00733251">
        <w:rPr>
          <w:i/>
          <w:iCs/>
          <w:lang w:val="en-GB"/>
        </w:rPr>
        <w:t>Public Governance Performance and Accountability Act 2013</w:t>
      </w:r>
      <w:r w:rsidRPr="00733251">
        <w:rPr>
          <w:lang w:val="en-GB"/>
        </w:rPr>
        <w:t xml:space="preserve"> (PGPA Act) and related regulations including the Australian Government Procurement Rules and relevant internal policies. The selection process may involve open tender, prequalified tender, limited tender, or a pre-eminent expert or consultant who had previously undertaken closely related work for the organisation. It also includes a consultant known to have the requisite skills where the value of the project did not justify the expense or delay associated with seeking tenders. </w:t>
      </w:r>
    </w:p>
    <w:p w:rsidR="00733251" w:rsidRDefault="00733251" w:rsidP="00733251">
      <w:pPr>
        <w:rPr>
          <w:lang w:val="en-GB"/>
        </w:rPr>
      </w:pPr>
      <w:r>
        <w:rPr>
          <w:lang w:val="en-GB"/>
        </w:rPr>
        <w:br w:type="page"/>
      </w:r>
    </w:p>
    <w:p w:rsidR="00733251" w:rsidRPr="00733251" w:rsidRDefault="00733251" w:rsidP="00733251">
      <w:pPr>
        <w:rPr>
          <w:lang w:val="en-GB"/>
        </w:rPr>
      </w:pPr>
      <w:r w:rsidRPr="00733251">
        <w:rPr>
          <w:lang w:val="en-GB"/>
        </w:rPr>
        <w:lastRenderedPageBreak/>
        <w:t>During 2014–15 seventeen new consultancy contracts, with a value over $10,000, were entered into involving total actual expenditure of $2.616 million. In addition, sixteen ongoing consultancy contracts were active during 2014–15, involving total actual expenditure of $2.416 million.</w:t>
      </w:r>
    </w:p>
    <w:p w:rsidR="00733251" w:rsidRPr="00733251" w:rsidRDefault="00733251" w:rsidP="00733251">
      <w:pPr>
        <w:rPr>
          <w:lang w:val="en-GB"/>
        </w:rPr>
      </w:pPr>
      <w:r w:rsidRPr="00733251">
        <w:rPr>
          <w:lang w:val="en-GB"/>
        </w:rPr>
        <w:t xml:space="preserve">Annual reports contain information about actual expenditure on contracts for consultancies. Information on the value of contracts and consultancies is available on the AusTender website </w:t>
      </w:r>
      <w:hyperlink r:id="rId31" w:history="1">
        <w:r w:rsidRPr="00733251">
          <w:rPr>
            <w:rStyle w:val="Hyperlink"/>
            <w:lang w:val="en-GB"/>
          </w:rPr>
          <w:t>www.tenders.gov.au</w:t>
        </w:r>
      </w:hyperlink>
      <w:r w:rsidRPr="00733251">
        <w:rPr>
          <w:lang w:val="en-GB"/>
        </w:rPr>
        <w:t>.</w:t>
      </w:r>
    </w:p>
    <w:p w:rsidR="00733251" w:rsidRDefault="00733251" w:rsidP="00733251">
      <w:pPr>
        <w:pStyle w:val="TableHeading"/>
        <w:rPr>
          <w:lang w:val="en-GB"/>
        </w:rPr>
      </w:pPr>
      <w:r w:rsidRPr="00733251">
        <w:rPr>
          <w:lang w:val="en-GB"/>
        </w:rPr>
        <w:t>Table 8: Comparison expenditure on consultancy contracts</w:t>
      </w:r>
    </w:p>
    <w:tbl>
      <w:tblPr>
        <w:tblStyle w:val="DefaultTable"/>
        <w:tblW w:w="0" w:type="auto"/>
        <w:tblLayout w:type="fixed"/>
        <w:tblLook w:val="00A0" w:firstRow="1" w:lastRow="0" w:firstColumn="1" w:lastColumn="0" w:noHBand="0" w:noVBand="0"/>
        <w:tblDescription w:val="Comparison expenditure on consultancy contracts"/>
      </w:tblPr>
      <w:tblGrid>
        <w:gridCol w:w="1843"/>
        <w:gridCol w:w="1162"/>
        <w:gridCol w:w="1163"/>
        <w:gridCol w:w="1163"/>
        <w:gridCol w:w="1163"/>
        <w:gridCol w:w="1163"/>
      </w:tblGrid>
      <w:tr w:rsidR="00733251" w:rsidRPr="00733251" w:rsidTr="0073325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rsidR="00733251" w:rsidRPr="00733251" w:rsidRDefault="00733251" w:rsidP="00733251">
            <w:pPr>
              <w:pStyle w:val="TableText"/>
            </w:pPr>
          </w:p>
        </w:tc>
        <w:tc>
          <w:tcPr>
            <w:tcW w:w="1162" w:type="dxa"/>
          </w:tcPr>
          <w:p w:rsidR="00733251" w:rsidRPr="00733251" w:rsidRDefault="00733251" w:rsidP="00733251">
            <w:pPr>
              <w:pStyle w:val="TableText"/>
              <w:jc w:val="right"/>
              <w:cnfStyle w:val="100000000000" w:firstRow="1" w:lastRow="0" w:firstColumn="0" w:lastColumn="0" w:oddVBand="0" w:evenVBand="0" w:oddHBand="0" w:evenHBand="0" w:firstRowFirstColumn="0" w:firstRowLastColumn="0" w:lastRowFirstColumn="0" w:lastRowLastColumn="0"/>
              <w:rPr>
                <w:bCs/>
                <w:lang w:val="en-GB"/>
              </w:rPr>
            </w:pPr>
            <w:r w:rsidRPr="00733251">
              <w:rPr>
                <w:bCs/>
                <w:lang w:val="en-GB"/>
              </w:rPr>
              <w:t>2010–11</w:t>
            </w:r>
          </w:p>
        </w:tc>
        <w:tc>
          <w:tcPr>
            <w:tcW w:w="1163" w:type="dxa"/>
          </w:tcPr>
          <w:p w:rsidR="00733251" w:rsidRPr="00733251" w:rsidRDefault="00733251" w:rsidP="00733251">
            <w:pPr>
              <w:pStyle w:val="TableText"/>
              <w:jc w:val="right"/>
              <w:cnfStyle w:val="100000000000" w:firstRow="1" w:lastRow="0" w:firstColumn="0" w:lastColumn="0" w:oddVBand="0" w:evenVBand="0" w:oddHBand="0" w:evenHBand="0" w:firstRowFirstColumn="0" w:firstRowLastColumn="0" w:lastRowFirstColumn="0" w:lastRowLastColumn="0"/>
              <w:rPr>
                <w:bCs/>
                <w:lang w:val="en-GB"/>
              </w:rPr>
            </w:pPr>
            <w:r w:rsidRPr="00733251">
              <w:rPr>
                <w:bCs/>
                <w:lang w:val="en-GB"/>
              </w:rPr>
              <w:t>2011–12</w:t>
            </w:r>
          </w:p>
        </w:tc>
        <w:tc>
          <w:tcPr>
            <w:tcW w:w="1163" w:type="dxa"/>
          </w:tcPr>
          <w:p w:rsidR="00733251" w:rsidRPr="00733251" w:rsidRDefault="00733251" w:rsidP="00733251">
            <w:pPr>
              <w:pStyle w:val="TableText"/>
              <w:jc w:val="right"/>
              <w:cnfStyle w:val="100000000000" w:firstRow="1" w:lastRow="0" w:firstColumn="0" w:lastColumn="0" w:oddVBand="0" w:evenVBand="0" w:oddHBand="0" w:evenHBand="0" w:firstRowFirstColumn="0" w:firstRowLastColumn="0" w:lastRowFirstColumn="0" w:lastRowLastColumn="0"/>
              <w:rPr>
                <w:bCs/>
                <w:lang w:val="en-GB"/>
              </w:rPr>
            </w:pPr>
            <w:r w:rsidRPr="00733251">
              <w:rPr>
                <w:bCs/>
                <w:lang w:val="en-GB"/>
              </w:rPr>
              <w:t>2012–13</w:t>
            </w:r>
          </w:p>
        </w:tc>
        <w:tc>
          <w:tcPr>
            <w:tcW w:w="1163" w:type="dxa"/>
          </w:tcPr>
          <w:p w:rsidR="00733251" w:rsidRPr="00733251" w:rsidRDefault="00733251" w:rsidP="00733251">
            <w:pPr>
              <w:pStyle w:val="TableText"/>
              <w:jc w:val="right"/>
              <w:cnfStyle w:val="100000000000" w:firstRow="1" w:lastRow="0" w:firstColumn="0" w:lastColumn="0" w:oddVBand="0" w:evenVBand="0" w:oddHBand="0" w:evenHBand="0" w:firstRowFirstColumn="0" w:firstRowLastColumn="0" w:lastRowFirstColumn="0" w:lastRowLastColumn="0"/>
              <w:rPr>
                <w:bCs/>
                <w:lang w:val="en-GB"/>
              </w:rPr>
            </w:pPr>
            <w:r w:rsidRPr="00733251">
              <w:rPr>
                <w:bCs/>
                <w:lang w:val="en-GB"/>
              </w:rPr>
              <w:t>2013–14</w:t>
            </w:r>
          </w:p>
        </w:tc>
        <w:tc>
          <w:tcPr>
            <w:tcW w:w="1163" w:type="dxa"/>
          </w:tcPr>
          <w:p w:rsidR="00733251" w:rsidRPr="00733251" w:rsidRDefault="00733251" w:rsidP="00733251">
            <w:pPr>
              <w:pStyle w:val="TableText"/>
              <w:jc w:val="right"/>
              <w:cnfStyle w:val="100000000000" w:firstRow="1" w:lastRow="0" w:firstColumn="0" w:lastColumn="0" w:oddVBand="0" w:evenVBand="0" w:oddHBand="0" w:evenHBand="0" w:firstRowFirstColumn="0" w:firstRowLastColumn="0" w:lastRowFirstColumn="0" w:lastRowLastColumn="0"/>
              <w:rPr>
                <w:bCs/>
                <w:lang w:val="en-GB"/>
              </w:rPr>
            </w:pPr>
            <w:r w:rsidRPr="00733251">
              <w:rPr>
                <w:bCs/>
                <w:lang w:val="en-GB"/>
              </w:rPr>
              <w:t>2014–15</w:t>
            </w:r>
          </w:p>
        </w:tc>
      </w:tr>
      <w:tr w:rsidR="00733251" w:rsidRPr="00733251" w:rsidTr="007332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rsidR="00733251" w:rsidRPr="00733251" w:rsidRDefault="00733251" w:rsidP="00733251">
            <w:pPr>
              <w:pStyle w:val="TableText"/>
              <w:rPr>
                <w:bCs/>
                <w:lang w:val="en-GB"/>
              </w:rPr>
            </w:pPr>
            <w:r w:rsidRPr="00733251">
              <w:rPr>
                <w:bCs/>
                <w:lang w:val="en-GB"/>
              </w:rPr>
              <w:t>Consultancy Contracts</w:t>
            </w:r>
          </w:p>
        </w:tc>
        <w:tc>
          <w:tcPr>
            <w:tcW w:w="1162" w:type="dxa"/>
          </w:tcPr>
          <w:p w:rsidR="00733251" w:rsidRPr="00733251" w:rsidRDefault="00733251" w:rsidP="00733251">
            <w:pPr>
              <w:pStyle w:val="TableText"/>
              <w:jc w:val="right"/>
              <w:cnfStyle w:val="000000100000" w:firstRow="0" w:lastRow="0" w:firstColumn="0" w:lastColumn="0" w:oddVBand="0" w:evenVBand="0" w:oddHBand="1" w:evenHBand="0" w:firstRowFirstColumn="0" w:firstRowLastColumn="0" w:lastRowFirstColumn="0" w:lastRowLastColumn="0"/>
            </w:pPr>
            <w:r w:rsidRPr="00733251">
              <w:t>N/A</w:t>
            </w:r>
          </w:p>
        </w:tc>
        <w:tc>
          <w:tcPr>
            <w:tcW w:w="1163" w:type="dxa"/>
          </w:tcPr>
          <w:p w:rsidR="00733251" w:rsidRPr="00733251" w:rsidRDefault="00733251" w:rsidP="00733251">
            <w:pPr>
              <w:pStyle w:val="TableText"/>
              <w:jc w:val="right"/>
              <w:cnfStyle w:val="000000100000" w:firstRow="0" w:lastRow="0" w:firstColumn="0" w:lastColumn="0" w:oddVBand="0" w:evenVBand="0" w:oddHBand="1" w:evenHBand="0" w:firstRowFirstColumn="0" w:firstRowLastColumn="0" w:lastRowFirstColumn="0" w:lastRowLastColumn="0"/>
            </w:pPr>
            <w:r w:rsidRPr="00733251">
              <w:t>$0.015m</w:t>
            </w:r>
          </w:p>
        </w:tc>
        <w:tc>
          <w:tcPr>
            <w:tcW w:w="1163" w:type="dxa"/>
          </w:tcPr>
          <w:p w:rsidR="00733251" w:rsidRPr="00733251" w:rsidRDefault="00733251" w:rsidP="00733251">
            <w:pPr>
              <w:pStyle w:val="TableText"/>
              <w:jc w:val="right"/>
              <w:cnfStyle w:val="000000100000" w:firstRow="0" w:lastRow="0" w:firstColumn="0" w:lastColumn="0" w:oddVBand="0" w:evenVBand="0" w:oddHBand="1" w:evenHBand="0" w:firstRowFirstColumn="0" w:firstRowLastColumn="0" w:lastRowFirstColumn="0" w:lastRowLastColumn="0"/>
            </w:pPr>
            <w:r w:rsidRPr="00733251">
              <w:t>$3.397m</w:t>
            </w:r>
          </w:p>
        </w:tc>
        <w:tc>
          <w:tcPr>
            <w:tcW w:w="1163" w:type="dxa"/>
          </w:tcPr>
          <w:p w:rsidR="00733251" w:rsidRPr="00733251" w:rsidRDefault="00733251" w:rsidP="00733251">
            <w:pPr>
              <w:pStyle w:val="TableText"/>
              <w:jc w:val="right"/>
              <w:cnfStyle w:val="000000100000" w:firstRow="0" w:lastRow="0" w:firstColumn="0" w:lastColumn="0" w:oddVBand="0" w:evenVBand="0" w:oddHBand="1" w:evenHBand="0" w:firstRowFirstColumn="0" w:firstRowLastColumn="0" w:lastRowFirstColumn="0" w:lastRowLastColumn="0"/>
            </w:pPr>
            <w:r w:rsidRPr="00733251">
              <w:t>$4.631m</w:t>
            </w:r>
          </w:p>
        </w:tc>
        <w:tc>
          <w:tcPr>
            <w:tcW w:w="1163" w:type="dxa"/>
          </w:tcPr>
          <w:p w:rsidR="00733251" w:rsidRPr="00733251" w:rsidRDefault="00733251" w:rsidP="00733251">
            <w:pPr>
              <w:pStyle w:val="TableText"/>
              <w:jc w:val="right"/>
              <w:cnfStyle w:val="000000100000" w:firstRow="0" w:lastRow="0" w:firstColumn="0" w:lastColumn="0" w:oddVBand="0" w:evenVBand="0" w:oddHBand="1" w:evenHBand="0" w:firstRowFirstColumn="0" w:firstRowLastColumn="0" w:lastRowFirstColumn="0" w:lastRowLastColumn="0"/>
            </w:pPr>
            <w:r w:rsidRPr="00733251">
              <w:t>$5.031m</w:t>
            </w:r>
          </w:p>
        </w:tc>
      </w:tr>
    </w:tbl>
    <w:p w:rsidR="00633CF1" w:rsidRDefault="00733251" w:rsidP="00733251">
      <w:pPr>
        <w:pStyle w:val="SourceNotesText"/>
      </w:pPr>
      <w:r w:rsidRPr="00733251">
        <w:t>Between 2010–11 to 2013–14 NHRA Consultants were reported in Administered Financial Statements.</w:t>
      </w:r>
    </w:p>
    <w:p w:rsidR="00733251" w:rsidRPr="00733251" w:rsidRDefault="00733251" w:rsidP="00733251">
      <w:pPr>
        <w:pStyle w:val="Heading4"/>
        <w:rPr>
          <w:lang w:val="en-GB"/>
        </w:rPr>
      </w:pPr>
      <w:r w:rsidRPr="00733251">
        <w:rPr>
          <w:lang w:val="en-GB"/>
        </w:rPr>
        <w:t>Procurement Initiatives to Support Small Business</w:t>
      </w:r>
    </w:p>
    <w:p w:rsidR="00733251" w:rsidRPr="00733251" w:rsidRDefault="00733251" w:rsidP="00733251">
      <w:pPr>
        <w:rPr>
          <w:lang w:val="en-GB"/>
        </w:rPr>
      </w:pPr>
      <w:r w:rsidRPr="00733251">
        <w:rPr>
          <w:lang w:val="en-GB"/>
        </w:rPr>
        <w:t>IHPA supports small business participation in the Commonwealth Government procurement market. Small and Medium Enterprises (SME) and Small Enterprise participation statistics are available on the Department of Finance’s website:</w:t>
      </w:r>
    </w:p>
    <w:p w:rsidR="00733251" w:rsidRPr="00733251" w:rsidRDefault="00825F9D" w:rsidP="00733251">
      <w:pPr>
        <w:rPr>
          <w:lang w:val="en-GB"/>
        </w:rPr>
      </w:pPr>
      <w:hyperlink r:id="rId32" w:history="1">
        <w:r w:rsidR="00733251" w:rsidRPr="00733251">
          <w:rPr>
            <w:rStyle w:val="Hyperlink"/>
            <w:lang w:val="en-GB"/>
          </w:rPr>
          <w:t>www.finance.gov.au/procurement/statistics-on-commonwealth-purchasing-contracts/</w:t>
        </w:r>
      </w:hyperlink>
    </w:p>
    <w:p w:rsidR="00733251" w:rsidRPr="00733251" w:rsidRDefault="00733251" w:rsidP="00733251">
      <w:pPr>
        <w:rPr>
          <w:lang w:val="en-GB"/>
        </w:rPr>
      </w:pPr>
      <w:r w:rsidRPr="00733251">
        <w:rPr>
          <w:lang w:val="en-GB"/>
        </w:rPr>
        <w:t>IHPA’s procurement practices support small business through;</w:t>
      </w:r>
    </w:p>
    <w:p w:rsidR="00733251" w:rsidRPr="00733251" w:rsidRDefault="00733251" w:rsidP="00733251">
      <w:pPr>
        <w:pStyle w:val="ListBullet"/>
        <w:rPr>
          <w:lang w:val="en-GB"/>
        </w:rPr>
      </w:pPr>
      <w:r w:rsidRPr="00733251">
        <w:rPr>
          <w:lang w:val="en-GB"/>
        </w:rPr>
        <w:t xml:space="preserve">The Small Business Engagement Principles (outlined in the Australian Government’s Industry Innovation and Competitiveness Agenda), such as communicating in clear, simple language and presenting information in an accessible format. </w:t>
      </w:r>
    </w:p>
    <w:p w:rsidR="00733251" w:rsidRPr="00733251" w:rsidRDefault="00733251" w:rsidP="00733251">
      <w:pPr>
        <w:pStyle w:val="ListBullet"/>
        <w:rPr>
          <w:lang w:val="en-GB"/>
        </w:rPr>
      </w:pPr>
      <w:r w:rsidRPr="00733251">
        <w:rPr>
          <w:lang w:val="en-GB"/>
        </w:rPr>
        <w:t>Electronic systems or other processes used to facilitate on-time payment performance, including the use of payment cards.</w:t>
      </w:r>
    </w:p>
    <w:p w:rsidR="00733251" w:rsidRPr="00733251" w:rsidRDefault="00733251" w:rsidP="00733251">
      <w:pPr>
        <w:pStyle w:val="ListBullet"/>
        <w:rPr>
          <w:lang w:val="en-GB"/>
        </w:rPr>
      </w:pPr>
      <w:r w:rsidRPr="00733251">
        <w:rPr>
          <w:lang w:val="en-GB"/>
        </w:rPr>
        <w:t>Positive support for small indigenous business.</w:t>
      </w:r>
    </w:p>
    <w:p w:rsidR="00733251" w:rsidRPr="00733251" w:rsidRDefault="00733251" w:rsidP="00733251">
      <w:pPr>
        <w:pStyle w:val="ListBullet"/>
        <w:rPr>
          <w:lang w:val="en-GB"/>
        </w:rPr>
      </w:pPr>
      <w:r w:rsidRPr="00733251">
        <w:rPr>
          <w:lang w:val="en-GB"/>
        </w:rPr>
        <w:t>Took steps to encourage small business.</w:t>
      </w:r>
    </w:p>
    <w:p w:rsidR="00733251" w:rsidRDefault="00733251" w:rsidP="00BB7121">
      <w:r>
        <w:br w:type="page"/>
      </w:r>
    </w:p>
    <w:p w:rsidR="00916E33" w:rsidRPr="00916E33" w:rsidRDefault="00916E33" w:rsidP="00916E33">
      <w:pPr>
        <w:pStyle w:val="Heading2"/>
        <w:rPr>
          <w:lang w:val="en-GB"/>
        </w:rPr>
      </w:pPr>
      <w:r w:rsidRPr="00916E33">
        <w:rPr>
          <w:lang w:val="en-GB"/>
        </w:rPr>
        <w:lastRenderedPageBreak/>
        <w:t>Management of Human Resources</w:t>
      </w:r>
    </w:p>
    <w:p w:rsidR="00916E33" w:rsidRPr="00916E33" w:rsidRDefault="00916E33" w:rsidP="00916E33">
      <w:pPr>
        <w:pStyle w:val="Intro"/>
        <w:rPr>
          <w:lang w:val="en-GB"/>
        </w:rPr>
      </w:pPr>
      <w:r w:rsidRPr="00916E33">
        <w:rPr>
          <w:lang w:val="en-GB"/>
        </w:rPr>
        <w:t xml:space="preserve">IHPA’s work program incorporates a high degree of technical work which requires significant technical workforce capability and expertise. </w:t>
      </w:r>
    </w:p>
    <w:p w:rsidR="00916E33" w:rsidRPr="00916E33" w:rsidRDefault="00916E33" w:rsidP="00916E33">
      <w:pPr>
        <w:rPr>
          <w:lang w:val="en-GB"/>
        </w:rPr>
      </w:pPr>
      <w:r w:rsidRPr="00916E33">
        <w:rPr>
          <w:lang w:val="en-GB"/>
        </w:rPr>
        <w:t>IHPA’s workforce planning strategies emphasise both core public sector skills, management capabilities and technical skills. Underpinning these strategies are the foundation skills required by all APS employees, such as strategic thinking, policy development and advice, effective writing, analysis and judgement, cultural interpersonal effectiveness, team work and collaboration, working in partnership, and negotiation and relationship management. All will be central to IHPA’s future success and effectiveness</w:t>
      </w:r>
    </w:p>
    <w:p w:rsidR="00916E33" w:rsidRPr="00916E33" w:rsidRDefault="00916E33" w:rsidP="00916E33">
      <w:pPr>
        <w:rPr>
          <w:lang w:val="en-GB"/>
        </w:rPr>
      </w:pPr>
      <w:r w:rsidRPr="00916E33">
        <w:rPr>
          <w:lang w:val="en-GB"/>
        </w:rPr>
        <w:t>IHPA has and will continue to strengthen our management and leadership teams by enhancing performance feedback and providing targeted learning and development programs.</w:t>
      </w:r>
    </w:p>
    <w:p w:rsidR="00916E33" w:rsidRPr="00916E33" w:rsidRDefault="00916E33" w:rsidP="00916E33">
      <w:pPr>
        <w:rPr>
          <w:lang w:val="en-GB"/>
        </w:rPr>
      </w:pPr>
      <w:r w:rsidRPr="00916E33">
        <w:rPr>
          <w:lang w:val="en-GB"/>
        </w:rPr>
        <w:t>IHPA values the work, talent and contribution of its people and has created organisation-wide development strategies aimed at enhancing the skills, expertise and intellectual capital of the IHPA workforce. IHPA facilitates an atmosphere of open communication and welcomes ideas and innovation. IHPA’s workplace encourages people to work with a strong team ethic, to respect diversity, develop a collaborative culture and take pride in delivering quality outcomes for our stakeholders.</w:t>
      </w:r>
    </w:p>
    <w:p w:rsidR="00916E33" w:rsidRPr="00916E33" w:rsidRDefault="00916E33" w:rsidP="00916E33">
      <w:pPr>
        <w:rPr>
          <w:lang w:val="en-GB"/>
        </w:rPr>
      </w:pPr>
      <w:r w:rsidRPr="00916E33">
        <w:rPr>
          <w:lang w:val="en-GB"/>
        </w:rPr>
        <w:t xml:space="preserve">This year, human resource management focussed on managing and developing staff to achieve organisational objectives. All new staff attended induction courses and learning and development initiatives included workshops covering work, health and safety, fraud control, mental health and performance management. </w:t>
      </w:r>
    </w:p>
    <w:p w:rsidR="00916E33" w:rsidRPr="00916E33" w:rsidRDefault="00916E33" w:rsidP="00916E33">
      <w:pPr>
        <w:rPr>
          <w:lang w:val="en-GB"/>
        </w:rPr>
      </w:pPr>
      <w:r w:rsidRPr="00916E33">
        <w:rPr>
          <w:lang w:val="en-GB"/>
        </w:rPr>
        <w:t>The development of management skills was identified as a priority and applicable staff were able to enhance their skills during a targeted management course that involved training and one-on-one management coaching.</w:t>
      </w:r>
    </w:p>
    <w:p w:rsidR="00916E33" w:rsidRPr="00916E33" w:rsidRDefault="00916E33" w:rsidP="00916E33">
      <w:pPr>
        <w:rPr>
          <w:lang w:val="en-GB"/>
        </w:rPr>
      </w:pPr>
      <w:r w:rsidRPr="00916E33">
        <w:rPr>
          <w:lang w:val="en-GB"/>
        </w:rPr>
        <w:t xml:space="preserve">To deal with the challenges of recruiting technical positions in the Sydney market, a number of techniques were used to attract staff including: use of specialised recruitment agencies, social media and a range of online advertising. IHPA met its obligations for recruitment under the interim recruitment arrangements that were announced in October 2014. IHPA applied for exemptions from these arrangements on five occasions, for key positions. </w:t>
      </w:r>
    </w:p>
    <w:p w:rsidR="00916E33" w:rsidRDefault="00916E33" w:rsidP="00916E33">
      <w:pPr>
        <w:rPr>
          <w:b/>
          <w:bCs/>
          <w:lang w:val="en-GB"/>
        </w:rPr>
      </w:pPr>
      <w:r>
        <w:rPr>
          <w:b/>
          <w:bCs/>
          <w:lang w:val="en-GB"/>
        </w:rPr>
        <w:br w:type="page"/>
      </w:r>
    </w:p>
    <w:p w:rsidR="00916E33" w:rsidRPr="00916E33" w:rsidRDefault="00916E33" w:rsidP="00916E33">
      <w:pPr>
        <w:pStyle w:val="Heading3"/>
        <w:rPr>
          <w:lang w:val="en-GB"/>
        </w:rPr>
      </w:pPr>
      <w:r w:rsidRPr="00916E33">
        <w:rPr>
          <w:lang w:val="en-GB"/>
        </w:rPr>
        <w:lastRenderedPageBreak/>
        <w:t>Workforce planning and staff retention and turnover</w:t>
      </w:r>
    </w:p>
    <w:p w:rsidR="00916E33" w:rsidRPr="00916E33" w:rsidRDefault="00916E33" w:rsidP="00916E33">
      <w:pPr>
        <w:rPr>
          <w:lang w:val="en-GB"/>
        </w:rPr>
      </w:pPr>
      <w:r w:rsidRPr="00916E33">
        <w:rPr>
          <w:lang w:val="en-GB"/>
        </w:rPr>
        <w:t>Workforce planning activities were focussed to ensure that IHPA’s organisational structure is able to meet the developing needs of the organisation, ensuring IHPA is adequately resourced and able to meet its legislative objectives and functions.</w:t>
      </w:r>
    </w:p>
    <w:p w:rsidR="00916E33" w:rsidRPr="00916E33" w:rsidRDefault="00916E33" w:rsidP="00916E33">
      <w:pPr>
        <w:rPr>
          <w:lang w:val="en-GB"/>
        </w:rPr>
      </w:pPr>
      <w:r w:rsidRPr="00916E33">
        <w:rPr>
          <w:lang w:val="en-GB"/>
        </w:rPr>
        <w:t>IHPA’s agency structure determines the number of positions and appropriate classification levels in line with the Australian Public Service Work Level Standards. This structure is subject to a process of ongoing review to ensure that resources are optimised for the achievement of organisational goals.</w:t>
      </w:r>
    </w:p>
    <w:p w:rsidR="00916E33" w:rsidRPr="00916E33" w:rsidRDefault="00916E33" w:rsidP="00916E33">
      <w:pPr>
        <w:rPr>
          <w:lang w:val="en-GB"/>
        </w:rPr>
      </w:pPr>
      <w:r w:rsidRPr="00916E33">
        <w:rPr>
          <w:lang w:val="en-GB"/>
        </w:rPr>
        <w:t>Issues related to high staff turnover or ongoing retention of staff did not present as a high risk during this financial year.</w:t>
      </w:r>
    </w:p>
    <w:p w:rsidR="00733251" w:rsidRDefault="00916E33" w:rsidP="00916E33">
      <w:pPr>
        <w:pStyle w:val="TableHeading"/>
      </w:pPr>
      <w:r w:rsidRPr="00916E33">
        <w:t>Table 9: APS levels salary structure at 30 June 2015</w:t>
      </w:r>
    </w:p>
    <w:tbl>
      <w:tblPr>
        <w:tblStyle w:val="DefaultTable"/>
        <w:tblW w:w="0" w:type="auto"/>
        <w:tblLayout w:type="fixed"/>
        <w:tblLook w:val="00A0" w:firstRow="1" w:lastRow="0" w:firstColumn="1" w:lastColumn="0" w:noHBand="0" w:noVBand="0"/>
        <w:tblDescription w:val="APS levels salary structure at 30 June 2015"/>
      </w:tblPr>
      <w:tblGrid>
        <w:gridCol w:w="3402"/>
        <w:gridCol w:w="4255"/>
      </w:tblGrid>
      <w:tr w:rsidR="00916E33" w:rsidRPr="00916E33" w:rsidTr="00287B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Classification</w:t>
            </w:r>
          </w:p>
        </w:tc>
        <w:tc>
          <w:tcPr>
            <w:tcW w:w="4255" w:type="dxa"/>
          </w:tcPr>
          <w:p w:rsidR="00916E33" w:rsidRPr="00916E33" w:rsidRDefault="00916E33" w:rsidP="00916E33">
            <w:pPr>
              <w:pStyle w:val="TableText"/>
              <w:jc w:val="right"/>
              <w:cnfStyle w:val="100000000000" w:firstRow="1" w:lastRow="0" w:firstColumn="0" w:lastColumn="0" w:oddVBand="0" w:evenVBand="0" w:oddHBand="0" w:evenHBand="0" w:firstRowFirstColumn="0" w:firstRowLastColumn="0" w:lastRowFirstColumn="0" w:lastRowLastColumn="0"/>
              <w:rPr>
                <w:lang w:val="en-GB"/>
              </w:rPr>
            </w:pPr>
            <w:r w:rsidRPr="00916E33">
              <w:rPr>
                <w:lang w:val="en-GB"/>
              </w:rPr>
              <w:t xml:space="preserve">Salary range (incorporating Enterprise Agreement and Individual Flexibility Agreements) </w:t>
            </w:r>
          </w:p>
        </w:tc>
      </w:tr>
      <w:tr w:rsidR="00916E33" w:rsidRPr="00916E33" w:rsidTr="00916E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57" w:type="dxa"/>
            <w:gridSpan w:val="2"/>
          </w:tcPr>
          <w:p w:rsidR="00916E33" w:rsidRPr="00916E33" w:rsidRDefault="00916E33" w:rsidP="00916E33">
            <w:pPr>
              <w:pStyle w:val="TableText"/>
              <w:rPr>
                <w:lang w:val="en-GB"/>
              </w:rPr>
            </w:pPr>
            <w:r w:rsidRPr="00916E33">
              <w:rPr>
                <w:lang w:val="en-GB"/>
              </w:rPr>
              <w:t>Executive Level (EL)</w:t>
            </w:r>
          </w:p>
        </w:tc>
      </w:tr>
      <w:tr w:rsidR="00916E33" w:rsidRPr="00916E33" w:rsidTr="00287BAA">
        <w:trPr>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EL 2</w:t>
            </w:r>
          </w:p>
        </w:tc>
        <w:tc>
          <w:tcPr>
            <w:tcW w:w="4255" w:type="dxa"/>
          </w:tcPr>
          <w:p w:rsidR="00916E33" w:rsidRPr="00916E33" w:rsidRDefault="00916E33" w:rsidP="00916E33">
            <w:pPr>
              <w:pStyle w:val="TableText"/>
              <w:jc w:val="right"/>
              <w:cnfStyle w:val="000000000000" w:firstRow="0" w:lastRow="0" w:firstColumn="0" w:lastColumn="0" w:oddVBand="0" w:evenVBand="0" w:oddHBand="0" w:evenHBand="0" w:firstRowFirstColumn="0" w:firstRowLastColumn="0" w:lastRowFirstColumn="0" w:lastRowLastColumn="0"/>
              <w:rPr>
                <w:lang w:val="en-GB"/>
              </w:rPr>
            </w:pPr>
            <w:r w:rsidRPr="00916E33">
              <w:rPr>
                <w:lang w:val="en-GB"/>
              </w:rPr>
              <w:t>$112,992–$168,750</w:t>
            </w:r>
          </w:p>
        </w:tc>
      </w:tr>
      <w:tr w:rsidR="00916E33" w:rsidRPr="00916E33" w:rsidTr="00287B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EL 1</w:t>
            </w:r>
          </w:p>
        </w:tc>
        <w:tc>
          <w:tcPr>
            <w:tcW w:w="4255" w:type="dxa"/>
          </w:tcPr>
          <w:p w:rsidR="00916E33" w:rsidRPr="00916E33" w:rsidRDefault="00916E33" w:rsidP="00916E33">
            <w:pPr>
              <w:pStyle w:val="TableText"/>
              <w:jc w:val="right"/>
              <w:cnfStyle w:val="000000100000" w:firstRow="0" w:lastRow="0" w:firstColumn="0" w:lastColumn="0" w:oddVBand="0" w:evenVBand="0" w:oddHBand="1" w:evenHBand="0" w:firstRowFirstColumn="0" w:firstRowLastColumn="0" w:lastRowFirstColumn="0" w:lastRowLastColumn="0"/>
              <w:rPr>
                <w:lang w:val="en-GB"/>
              </w:rPr>
            </w:pPr>
            <w:r w:rsidRPr="00916E33">
              <w:rPr>
                <w:lang w:val="en-GB"/>
              </w:rPr>
              <w:t>$94,705–$133,777</w:t>
            </w:r>
          </w:p>
        </w:tc>
      </w:tr>
      <w:tr w:rsidR="00916E33" w:rsidRPr="00916E33" w:rsidTr="00916E33">
        <w:trPr>
          <w:trHeight w:val="340"/>
        </w:trPr>
        <w:tc>
          <w:tcPr>
            <w:cnfStyle w:val="001000000000" w:firstRow="0" w:lastRow="0" w:firstColumn="1" w:lastColumn="0" w:oddVBand="0" w:evenVBand="0" w:oddHBand="0" w:evenHBand="0" w:firstRowFirstColumn="0" w:firstRowLastColumn="0" w:lastRowFirstColumn="0" w:lastRowLastColumn="0"/>
            <w:tcW w:w="7657" w:type="dxa"/>
            <w:gridSpan w:val="2"/>
          </w:tcPr>
          <w:p w:rsidR="00916E33" w:rsidRPr="00916E33" w:rsidRDefault="00916E33" w:rsidP="00916E33">
            <w:pPr>
              <w:pStyle w:val="TableText"/>
              <w:rPr>
                <w:lang w:val="en-GB"/>
              </w:rPr>
            </w:pPr>
            <w:r w:rsidRPr="00916E33">
              <w:rPr>
                <w:lang w:val="en-GB"/>
              </w:rPr>
              <w:t xml:space="preserve">Australian Public Service (APS) </w:t>
            </w:r>
          </w:p>
        </w:tc>
      </w:tr>
      <w:tr w:rsidR="00916E33" w:rsidRPr="00916E33" w:rsidTr="00287B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6</w:t>
            </w:r>
          </w:p>
        </w:tc>
        <w:tc>
          <w:tcPr>
            <w:tcW w:w="4255" w:type="dxa"/>
          </w:tcPr>
          <w:p w:rsidR="00916E33" w:rsidRPr="00916E33" w:rsidRDefault="00916E33" w:rsidP="00916E33">
            <w:pPr>
              <w:pStyle w:val="TableText"/>
              <w:jc w:val="right"/>
              <w:cnfStyle w:val="000000100000" w:firstRow="0" w:lastRow="0" w:firstColumn="0" w:lastColumn="0" w:oddVBand="0" w:evenVBand="0" w:oddHBand="1" w:evenHBand="0" w:firstRowFirstColumn="0" w:firstRowLastColumn="0" w:lastRowFirstColumn="0" w:lastRowLastColumn="0"/>
              <w:rPr>
                <w:lang w:val="en-GB"/>
              </w:rPr>
            </w:pPr>
            <w:r w:rsidRPr="00916E33">
              <w:rPr>
                <w:lang w:val="en-GB"/>
              </w:rPr>
              <w:t>$77,067–$92,250</w:t>
            </w:r>
          </w:p>
        </w:tc>
      </w:tr>
      <w:tr w:rsidR="00916E33" w:rsidRPr="00916E33" w:rsidTr="00287BAA">
        <w:trPr>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5</w:t>
            </w:r>
          </w:p>
        </w:tc>
        <w:tc>
          <w:tcPr>
            <w:tcW w:w="4255" w:type="dxa"/>
          </w:tcPr>
          <w:p w:rsidR="00916E33" w:rsidRPr="00916E33" w:rsidRDefault="00916E33" w:rsidP="00916E33">
            <w:pPr>
              <w:pStyle w:val="TableText"/>
              <w:jc w:val="right"/>
              <w:cnfStyle w:val="000000000000" w:firstRow="0" w:lastRow="0" w:firstColumn="0" w:lastColumn="0" w:oddVBand="0" w:evenVBand="0" w:oddHBand="0" w:evenHBand="0" w:firstRowFirstColumn="0" w:firstRowLastColumn="0" w:lastRowFirstColumn="0" w:lastRowLastColumn="0"/>
              <w:rPr>
                <w:lang w:val="en-GB"/>
              </w:rPr>
            </w:pPr>
            <w:r w:rsidRPr="00916E33">
              <w:rPr>
                <w:lang w:val="en-GB"/>
              </w:rPr>
              <w:t>$68,843–$74,451</w:t>
            </w:r>
          </w:p>
        </w:tc>
      </w:tr>
      <w:tr w:rsidR="00916E33" w:rsidRPr="00916E33" w:rsidTr="00287B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4</w:t>
            </w:r>
          </w:p>
        </w:tc>
        <w:tc>
          <w:tcPr>
            <w:tcW w:w="4255" w:type="dxa"/>
          </w:tcPr>
          <w:p w:rsidR="00916E33" w:rsidRPr="00916E33" w:rsidRDefault="00916E33" w:rsidP="00916E33">
            <w:pPr>
              <w:pStyle w:val="TableText"/>
              <w:jc w:val="right"/>
              <w:cnfStyle w:val="000000100000" w:firstRow="0" w:lastRow="0" w:firstColumn="0" w:lastColumn="0" w:oddVBand="0" w:evenVBand="0" w:oddHBand="1" w:evenHBand="0" w:firstRowFirstColumn="0" w:firstRowLastColumn="0" w:lastRowFirstColumn="0" w:lastRowLastColumn="0"/>
              <w:rPr>
                <w:lang w:val="en-GB"/>
              </w:rPr>
            </w:pPr>
            <w:r w:rsidRPr="00916E33">
              <w:rPr>
                <w:lang w:val="en-GB"/>
              </w:rPr>
              <w:t>$64,229–$67,865</w:t>
            </w:r>
          </w:p>
        </w:tc>
      </w:tr>
      <w:tr w:rsidR="00916E33" w:rsidRPr="00916E33" w:rsidTr="00287BAA">
        <w:trPr>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3</w:t>
            </w:r>
          </w:p>
        </w:tc>
        <w:tc>
          <w:tcPr>
            <w:tcW w:w="4255" w:type="dxa"/>
          </w:tcPr>
          <w:p w:rsidR="00916E33" w:rsidRPr="00916E33" w:rsidRDefault="00916E33" w:rsidP="00916E33">
            <w:pPr>
              <w:pStyle w:val="TableText"/>
              <w:jc w:val="right"/>
              <w:cnfStyle w:val="000000000000" w:firstRow="0" w:lastRow="0" w:firstColumn="0" w:lastColumn="0" w:oddVBand="0" w:evenVBand="0" w:oddHBand="0" w:evenHBand="0" w:firstRowFirstColumn="0" w:firstRowLastColumn="0" w:lastRowFirstColumn="0" w:lastRowLastColumn="0"/>
              <w:rPr>
                <w:lang w:val="en-GB"/>
              </w:rPr>
            </w:pPr>
            <w:r w:rsidRPr="00916E33">
              <w:rPr>
                <w:lang w:val="en-GB"/>
              </w:rPr>
              <w:t>$56,691–$62,837</w:t>
            </w:r>
          </w:p>
        </w:tc>
      </w:tr>
      <w:tr w:rsidR="00916E33" w:rsidRPr="00916E33" w:rsidTr="00287B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2</w:t>
            </w:r>
          </w:p>
        </w:tc>
        <w:tc>
          <w:tcPr>
            <w:tcW w:w="4255" w:type="dxa"/>
          </w:tcPr>
          <w:p w:rsidR="00916E33" w:rsidRPr="00916E33" w:rsidRDefault="00916E33" w:rsidP="00916E33">
            <w:pPr>
              <w:pStyle w:val="TableText"/>
              <w:jc w:val="right"/>
              <w:cnfStyle w:val="000000100000" w:firstRow="0" w:lastRow="0" w:firstColumn="0" w:lastColumn="0" w:oddVBand="0" w:evenVBand="0" w:oddHBand="1" w:evenHBand="0" w:firstRowFirstColumn="0" w:firstRowLastColumn="0" w:lastRowFirstColumn="0" w:lastRowLastColumn="0"/>
              <w:rPr>
                <w:lang w:val="en-GB"/>
              </w:rPr>
            </w:pPr>
            <w:r w:rsidRPr="00916E33">
              <w:rPr>
                <w:lang w:val="en-GB"/>
              </w:rPr>
              <w:t>$49,056–$53,533</w:t>
            </w:r>
          </w:p>
        </w:tc>
      </w:tr>
      <w:tr w:rsidR="00916E33" w:rsidRPr="00916E33" w:rsidTr="00287BAA">
        <w:trPr>
          <w:trHeight w:val="340"/>
        </w:trPr>
        <w:tc>
          <w:tcPr>
            <w:cnfStyle w:val="001000000000" w:firstRow="0" w:lastRow="0" w:firstColumn="1" w:lastColumn="0" w:oddVBand="0" w:evenVBand="0" w:oddHBand="0" w:evenHBand="0" w:firstRowFirstColumn="0" w:firstRowLastColumn="0" w:lastRowFirstColumn="0" w:lastRowLastColumn="0"/>
            <w:tcW w:w="3402" w:type="dxa"/>
          </w:tcPr>
          <w:p w:rsidR="00916E33" w:rsidRPr="00916E33" w:rsidRDefault="00916E33" w:rsidP="00916E33">
            <w:pPr>
              <w:pStyle w:val="TableText"/>
              <w:rPr>
                <w:lang w:val="en-GB"/>
              </w:rPr>
            </w:pPr>
            <w:r w:rsidRPr="00916E33">
              <w:rPr>
                <w:lang w:val="en-GB"/>
              </w:rPr>
              <w:t>APS Level 1</w:t>
            </w:r>
          </w:p>
        </w:tc>
        <w:tc>
          <w:tcPr>
            <w:tcW w:w="4255" w:type="dxa"/>
          </w:tcPr>
          <w:p w:rsidR="00916E33" w:rsidRPr="00916E33" w:rsidRDefault="00916E33" w:rsidP="00916E33">
            <w:pPr>
              <w:pStyle w:val="TableText"/>
              <w:jc w:val="right"/>
              <w:cnfStyle w:val="000000000000" w:firstRow="0" w:lastRow="0" w:firstColumn="0" w:lastColumn="0" w:oddVBand="0" w:evenVBand="0" w:oddHBand="0" w:evenHBand="0" w:firstRowFirstColumn="0" w:firstRowLastColumn="0" w:lastRowFirstColumn="0" w:lastRowLastColumn="0"/>
              <w:rPr>
                <w:lang w:val="en-GB"/>
              </w:rPr>
            </w:pPr>
            <w:r w:rsidRPr="00916E33">
              <w:rPr>
                <w:lang w:val="en-GB"/>
              </w:rPr>
              <w:t>$41,974–$47,140</w:t>
            </w:r>
          </w:p>
        </w:tc>
      </w:tr>
    </w:tbl>
    <w:p w:rsidR="00916E33" w:rsidRDefault="00916E33" w:rsidP="00916E33">
      <w:pPr>
        <w:pStyle w:val="TableHeading"/>
      </w:pPr>
      <w:r>
        <w:br w:type="page"/>
      </w:r>
    </w:p>
    <w:p w:rsidR="00916E33" w:rsidRDefault="00916E33" w:rsidP="00916E33">
      <w:pPr>
        <w:pStyle w:val="TableHeading"/>
      </w:pPr>
      <w:r w:rsidRPr="00916E33">
        <w:lastRenderedPageBreak/>
        <w:t>Table 10: Staff numbers by classification, gender and full</w:t>
      </w:r>
      <w:r w:rsidRPr="00916E33">
        <w:rPr>
          <w:rFonts w:ascii="Cambria Math" w:hAnsi="Cambria Math" w:cs="Cambria Math"/>
        </w:rPr>
        <w:t>‑</w:t>
      </w:r>
      <w:r w:rsidRPr="00916E33">
        <w:t>time/part-time status at 30</w:t>
      </w:r>
      <w:r w:rsidRPr="00916E33">
        <w:rPr>
          <w:rFonts w:cs="Arial"/>
        </w:rPr>
        <w:t> </w:t>
      </w:r>
      <w:r w:rsidRPr="00916E33">
        <w:t>June 2015</w:t>
      </w:r>
    </w:p>
    <w:tbl>
      <w:tblPr>
        <w:tblStyle w:val="DefaultTable"/>
        <w:tblW w:w="9463" w:type="dxa"/>
        <w:tblLayout w:type="fixed"/>
        <w:tblLook w:val="00A0" w:firstRow="1" w:lastRow="0" w:firstColumn="1" w:lastColumn="0" w:noHBand="0" w:noVBand="0"/>
        <w:tblDescription w:val="Staff numbers by classification, gender and full‑time/part-time status at 30 June 2015"/>
      </w:tblPr>
      <w:tblGrid>
        <w:gridCol w:w="1697"/>
        <w:gridCol w:w="1107"/>
        <w:gridCol w:w="1109"/>
        <w:gridCol w:w="1111"/>
        <w:gridCol w:w="1109"/>
        <w:gridCol w:w="1109"/>
        <w:gridCol w:w="1112"/>
        <w:gridCol w:w="1109"/>
      </w:tblGrid>
      <w:tr w:rsidR="0014231B" w:rsidRPr="00916E33" w:rsidTr="0064283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14231B" w:rsidRPr="00916E33" w:rsidRDefault="0014231B" w:rsidP="00745C47">
            <w:pPr>
              <w:pStyle w:val="TableText"/>
            </w:pPr>
            <w:r w:rsidRPr="00916E33">
              <w:t>Classification</w:t>
            </w:r>
          </w:p>
        </w:tc>
        <w:tc>
          <w:tcPr>
            <w:tcW w:w="1107"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Total</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F/T</w:t>
            </w:r>
          </w:p>
        </w:tc>
        <w:tc>
          <w:tcPr>
            <w:tcW w:w="1111"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P/T</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Total</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F/T</w:t>
            </w:r>
          </w:p>
        </w:tc>
        <w:tc>
          <w:tcPr>
            <w:tcW w:w="1112"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P/T</w:t>
            </w:r>
          </w:p>
        </w:tc>
        <w:tc>
          <w:tcPr>
            <w:tcW w:w="1109" w:type="dxa"/>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Total</w:t>
            </w:r>
          </w:p>
        </w:tc>
      </w:tr>
      <w:tr w:rsidR="00916E33" w:rsidRPr="00916E33" w:rsidTr="006428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HOPO</w:t>
            </w:r>
          </w:p>
        </w:tc>
        <w:tc>
          <w:tcPr>
            <w:tcW w:w="1107"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11"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12"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r>
      <w:tr w:rsidR="00916E33" w:rsidRPr="00916E33" w:rsidTr="00642839">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 xml:space="preserve">SES </w:t>
            </w:r>
          </w:p>
        </w:tc>
        <w:tc>
          <w:tcPr>
            <w:tcW w:w="1107"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12"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r>
      <w:tr w:rsidR="00916E33" w:rsidRPr="00916E33" w:rsidTr="006428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EL2</w:t>
            </w:r>
          </w:p>
        </w:tc>
        <w:tc>
          <w:tcPr>
            <w:tcW w:w="1107"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3</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c>
          <w:tcPr>
            <w:tcW w:w="1111"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6</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6</w:t>
            </w:r>
          </w:p>
        </w:tc>
        <w:tc>
          <w:tcPr>
            <w:tcW w:w="1112"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9</w:t>
            </w:r>
          </w:p>
        </w:tc>
      </w:tr>
      <w:tr w:rsidR="00916E33" w:rsidRPr="00916E33" w:rsidTr="00642839">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EL1</w:t>
            </w:r>
          </w:p>
        </w:tc>
        <w:tc>
          <w:tcPr>
            <w:tcW w:w="1107"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18</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18</w:t>
            </w:r>
          </w:p>
        </w:tc>
        <w:tc>
          <w:tcPr>
            <w:tcW w:w="1111"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8</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8</w:t>
            </w:r>
          </w:p>
        </w:tc>
        <w:tc>
          <w:tcPr>
            <w:tcW w:w="1112"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26</w:t>
            </w:r>
          </w:p>
        </w:tc>
      </w:tr>
      <w:tr w:rsidR="00916E33" w:rsidRPr="00916E33" w:rsidTr="006428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APS Level 6</w:t>
            </w:r>
          </w:p>
        </w:tc>
        <w:tc>
          <w:tcPr>
            <w:tcW w:w="1107"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9</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11"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12"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17</w:t>
            </w:r>
          </w:p>
        </w:tc>
      </w:tr>
      <w:tr w:rsidR="00916E33" w:rsidRPr="00916E33" w:rsidTr="00642839">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APS Level 5</w:t>
            </w:r>
          </w:p>
        </w:tc>
        <w:tc>
          <w:tcPr>
            <w:tcW w:w="1107"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12"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r>
      <w:tr w:rsidR="00916E33" w:rsidRPr="00916E33" w:rsidTr="006428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APS Level 4</w:t>
            </w:r>
          </w:p>
        </w:tc>
        <w:tc>
          <w:tcPr>
            <w:tcW w:w="1107"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11"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12"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r>
      <w:tr w:rsidR="00916E33" w:rsidRPr="00916E33" w:rsidTr="00642839">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APS Level 3</w:t>
            </w:r>
          </w:p>
        </w:tc>
        <w:tc>
          <w:tcPr>
            <w:tcW w:w="1107"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2"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r>
      <w:tr w:rsidR="00916E33" w:rsidRPr="00916E33" w:rsidTr="006428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16E33" w:rsidRPr="00916E33" w:rsidRDefault="00916E33" w:rsidP="00916E33">
            <w:pPr>
              <w:pStyle w:val="TableText"/>
            </w:pPr>
            <w:r w:rsidRPr="00916E33">
              <w:t>TOTAL</w:t>
            </w:r>
          </w:p>
        </w:tc>
        <w:tc>
          <w:tcPr>
            <w:tcW w:w="1107"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32</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29</w:t>
            </w:r>
          </w:p>
        </w:tc>
        <w:tc>
          <w:tcPr>
            <w:tcW w:w="1111"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3</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25</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25</w:t>
            </w:r>
          </w:p>
        </w:tc>
        <w:tc>
          <w:tcPr>
            <w:tcW w:w="1112"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16E33" w:rsidRPr="00916E33" w:rsidRDefault="00916E33" w:rsidP="00916E33">
            <w:pPr>
              <w:pStyle w:val="TableText"/>
              <w:jc w:val="center"/>
              <w:cnfStyle w:val="000000100000" w:firstRow="0" w:lastRow="0" w:firstColumn="0" w:lastColumn="0" w:oddVBand="0" w:evenVBand="0" w:oddHBand="1" w:evenHBand="0" w:firstRowFirstColumn="0" w:firstRowLastColumn="0" w:lastRowFirstColumn="0" w:lastRowLastColumn="0"/>
            </w:pPr>
            <w:r w:rsidRPr="00916E33">
              <w:t>57</w:t>
            </w:r>
          </w:p>
        </w:tc>
      </w:tr>
    </w:tbl>
    <w:p w:rsidR="007802BE" w:rsidRDefault="007802BE" w:rsidP="007802BE">
      <w:pPr>
        <w:pStyle w:val="SourceNotesText"/>
      </w:pPr>
      <w:r w:rsidRPr="007802BE">
        <w:rPr>
          <w:b/>
        </w:rPr>
        <w:t>Key</w:t>
      </w:r>
      <w:r>
        <w:t xml:space="preserve"> F/T = full time, P/T = part time, HOPO = Holder of Public Office (a statutory appointment – the CEO) </w:t>
      </w:r>
    </w:p>
    <w:p w:rsidR="00916E33" w:rsidRDefault="007802BE" w:rsidP="007802BE">
      <w:pPr>
        <w:pStyle w:val="SourceNotesText"/>
      </w:pPr>
      <w:r w:rsidRPr="007802BE">
        <w:rPr>
          <w:b/>
        </w:rPr>
        <w:t xml:space="preserve">Note </w:t>
      </w:r>
      <w:r>
        <w:t>Staff numbers by classification are based on actual not nominal classification. Non-ongoing includes staff on temporary moves from other APS agencies.</w:t>
      </w:r>
    </w:p>
    <w:p w:rsidR="007802BE" w:rsidRDefault="007802BE" w:rsidP="007802BE">
      <w:pPr>
        <w:pStyle w:val="TableText"/>
      </w:pPr>
      <w:r>
        <w:br w:type="page"/>
      </w:r>
    </w:p>
    <w:p w:rsidR="007802BE" w:rsidRDefault="009006CF" w:rsidP="009006CF">
      <w:pPr>
        <w:pStyle w:val="TableHeading"/>
      </w:pPr>
      <w:r>
        <w:lastRenderedPageBreak/>
        <w:t>T</w:t>
      </w:r>
      <w:r w:rsidRPr="009006CF">
        <w:t>able 11: Staff numbers by classification, gender and ongoing/non</w:t>
      </w:r>
      <w:r w:rsidRPr="009006CF">
        <w:rPr>
          <w:rFonts w:ascii="Cambria Math" w:hAnsi="Cambria Math" w:cs="Cambria Math"/>
        </w:rPr>
        <w:t>‑</w:t>
      </w:r>
      <w:r w:rsidRPr="009006CF">
        <w:t>ongoing status at 30</w:t>
      </w:r>
      <w:r w:rsidRPr="009006CF">
        <w:rPr>
          <w:rFonts w:cs="Arial"/>
        </w:rPr>
        <w:t> </w:t>
      </w:r>
      <w:r w:rsidRPr="009006CF">
        <w:t>June 2015</w:t>
      </w:r>
    </w:p>
    <w:tbl>
      <w:tblPr>
        <w:tblStyle w:val="DefaultTable"/>
        <w:tblW w:w="9463" w:type="dxa"/>
        <w:tblLayout w:type="fixed"/>
        <w:tblLook w:val="00A0" w:firstRow="1" w:lastRow="0" w:firstColumn="1" w:lastColumn="0" w:noHBand="0" w:noVBand="0"/>
        <w:tblDescription w:val="Staff numbers by classification, gender and ongoing/non‑ongoing status at 30 June 2015"/>
      </w:tblPr>
      <w:tblGrid>
        <w:gridCol w:w="1697"/>
        <w:gridCol w:w="1107"/>
        <w:gridCol w:w="1109"/>
        <w:gridCol w:w="1111"/>
        <w:gridCol w:w="1109"/>
        <w:gridCol w:w="1109"/>
        <w:gridCol w:w="1112"/>
        <w:gridCol w:w="1109"/>
      </w:tblGrid>
      <w:tr w:rsidR="0014231B" w:rsidRPr="00916E33" w:rsidTr="0014231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14231B" w:rsidRPr="00916E33" w:rsidRDefault="0014231B" w:rsidP="00745C47">
            <w:pPr>
              <w:pStyle w:val="TableText"/>
            </w:pPr>
            <w:r w:rsidRPr="00916E33">
              <w:t>Classification</w:t>
            </w:r>
          </w:p>
        </w:tc>
        <w:tc>
          <w:tcPr>
            <w:tcW w:w="1107"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Total</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F/T</w:t>
            </w:r>
          </w:p>
        </w:tc>
        <w:tc>
          <w:tcPr>
            <w:tcW w:w="1111"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Female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P/T</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Total</w:t>
            </w:r>
          </w:p>
        </w:tc>
        <w:tc>
          <w:tcPr>
            <w:tcW w:w="1109"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F/T</w:t>
            </w:r>
          </w:p>
        </w:tc>
        <w:tc>
          <w:tcPr>
            <w:tcW w:w="1112" w:type="dxa"/>
            <w:shd w:val="clear" w:color="auto" w:fill="auto"/>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Male</w:t>
            </w:r>
          </w:p>
          <w:p w:rsidR="0014231B" w:rsidRPr="00916E33"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916E33">
              <w:rPr>
                <w:b w:val="0"/>
              </w:rPr>
              <w:t>P/T</w:t>
            </w:r>
          </w:p>
        </w:tc>
        <w:tc>
          <w:tcPr>
            <w:tcW w:w="1109" w:type="dxa"/>
          </w:tcPr>
          <w:p w:rsidR="0014231B" w:rsidRPr="0014231B" w:rsidRDefault="0014231B" w:rsidP="00745C47">
            <w:pPr>
              <w:pStyle w:val="TableText"/>
              <w:jc w:val="center"/>
              <w:cnfStyle w:val="100000000000" w:firstRow="1" w:lastRow="0" w:firstColumn="0" w:lastColumn="0" w:oddVBand="0" w:evenVBand="0" w:oddHBand="0" w:evenHBand="0" w:firstRowFirstColumn="0" w:firstRowLastColumn="0" w:lastRowFirstColumn="0" w:lastRowLastColumn="0"/>
            </w:pPr>
            <w:r w:rsidRPr="0014231B">
              <w:t>Total</w:t>
            </w:r>
          </w:p>
        </w:tc>
      </w:tr>
      <w:tr w:rsidR="009006CF" w:rsidRPr="00916E33" w:rsidTr="001423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HOPO</w:t>
            </w:r>
          </w:p>
        </w:tc>
        <w:tc>
          <w:tcPr>
            <w:tcW w:w="1107"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11"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12"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r>
      <w:tr w:rsidR="009006CF" w:rsidRPr="00916E33" w:rsidTr="0014231B">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 xml:space="preserve">SES </w:t>
            </w:r>
          </w:p>
        </w:tc>
        <w:tc>
          <w:tcPr>
            <w:tcW w:w="1107"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12"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r>
      <w:tr w:rsidR="009006CF" w:rsidRPr="00916E33" w:rsidTr="001423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EL2</w:t>
            </w:r>
          </w:p>
        </w:tc>
        <w:tc>
          <w:tcPr>
            <w:tcW w:w="1107"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3</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c>
          <w:tcPr>
            <w:tcW w:w="1111"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6</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6</w:t>
            </w:r>
          </w:p>
        </w:tc>
        <w:tc>
          <w:tcPr>
            <w:tcW w:w="1112"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9</w:t>
            </w:r>
          </w:p>
        </w:tc>
      </w:tr>
      <w:tr w:rsidR="009006CF" w:rsidRPr="00916E33" w:rsidTr="0014231B">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EL1</w:t>
            </w:r>
          </w:p>
        </w:tc>
        <w:tc>
          <w:tcPr>
            <w:tcW w:w="1107"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18</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18</w:t>
            </w:r>
          </w:p>
        </w:tc>
        <w:tc>
          <w:tcPr>
            <w:tcW w:w="1111"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8</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8</w:t>
            </w:r>
          </w:p>
        </w:tc>
        <w:tc>
          <w:tcPr>
            <w:tcW w:w="1112"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26</w:t>
            </w:r>
          </w:p>
        </w:tc>
      </w:tr>
      <w:tr w:rsidR="009006CF" w:rsidRPr="00916E33" w:rsidTr="001423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APS Level 6</w:t>
            </w:r>
          </w:p>
        </w:tc>
        <w:tc>
          <w:tcPr>
            <w:tcW w:w="1107"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9</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11"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8</w:t>
            </w:r>
          </w:p>
        </w:tc>
        <w:tc>
          <w:tcPr>
            <w:tcW w:w="1112"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17</w:t>
            </w:r>
          </w:p>
        </w:tc>
      </w:tr>
      <w:tr w:rsidR="009006CF" w:rsidRPr="00916E33" w:rsidTr="0014231B">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APS Level 5</w:t>
            </w:r>
          </w:p>
        </w:tc>
        <w:tc>
          <w:tcPr>
            <w:tcW w:w="1107"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c>
          <w:tcPr>
            <w:tcW w:w="1112"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1</w:t>
            </w:r>
          </w:p>
        </w:tc>
      </w:tr>
      <w:tr w:rsidR="009006CF" w:rsidRPr="00916E33" w:rsidTr="001423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APS Level 4</w:t>
            </w:r>
          </w:p>
        </w:tc>
        <w:tc>
          <w:tcPr>
            <w:tcW w:w="1107"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11"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1</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12"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w:t>
            </w:r>
          </w:p>
        </w:tc>
      </w:tr>
      <w:tr w:rsidR="009006CF" w:rsidRPr="00916E33" w:rsidTr="0014231B">
        <w:trPr>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APS Level 3</w:t>
            </w:r>
          </w:p>
        </w:tc>
        <w:tc>
          <w:tcPr>
            <w:tcW w:w="1107"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1"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12"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000000" w:firstRow="0" w:lastRow="0" w:firstColumn="0" w:lastColumn="0" w:oddVBand="0" w:evenVBand="0" w:oddHBand="0" w:evenHBand="0" w:firstRowFirstColumn="0" w:firstRowLastColumn="0" w:lastRowFirstColumn="0" w:lastRowLastColumn="0"/>
            </w:pPr>
            <w:r w:rsidRPr="00916E33">
              <w:t>0</w:t>
            </w:r>
          </w:p>
        </w:tc>
      </w:tr>
      <w:tr w:rsidR="009006CF" w:rsidRPr="00916E33" w:rsidTr="001423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7" w:type="dxa"/>
          </w:tcPr>
          <w:p w:rsidR="009006CF" w:rsidRPr="00916E33" w:rsidRDefault="009006CF" w:rsidP="00CD3E69">
            <w:pPr>
              <w:pStyle w:val="TableText"/>
            </w:pPr>
            <w:r w:rsidRPr="00916E33">
              <w:t>TOTAL</w:t>
            </w:r>
          </w:p>
        </w:tc>
        <w:tc>
          <w:tcPr>
            <w:tcW w:w="1107"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32</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29</w:t>
            </w:r>
          </w:p>
        </w:tc>
        <w:tc>
          <w:tcPr>
            <w:tcW w:w="1111"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3</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25</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25</w:t>
            </w:r>
          </w:p>
        </w:tc>
        <w:tc>
          <w:tcPr>
            <w:tcW w:w="1112"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0</w:t>
            </w:r>
          </w:p>
        </w:tc>
        <w:tc>
          <w:tcPr>
            <w:tcW w:w="1109" w:type="dxa"/>
          </w:tcPr>
          <w:p w:rsidR="009006CF" w:rsidRPr="00916E33" w:rsidRDefault="009006CF" w:rsidP="00CD3E69">
            <w:pPr>
              <w:pStyle w:val="TableText"/>
              <w:jc w:val="center"/>
              <w:cnfStyle w:val="000000100000" w:firstRow="0" w:lastRow="0" w:firstColumn="0" w:lastColumn="0" w:oddVBand="0" w:evenVBand="0" w:oddHBand="1" w:evenHBand="0" w:firstRowFirstColumn="0" w:firstRowLastColumn="0" w:lastRowFirstColumn="0" w:lastRowLastColumn="0"/>
            </w:pPr>
            <w:r w:rsidRPr="00916E33">
              <w:t>57</w:t>
            </w:r>
          </w:p>
        </w:tc>
      </w:tr>
    </w:tbl>
    <w:p w:rsidR="00CB7BC5" w:rsidRDefault="00CB7BC5" w:rsidP="00CB7BC5">
      <w:pPr>
        <w:pStyle w:val="Heading3"/>
      </w:pPr>
      <w:r>
        <w:t>Non-salary benefits</w:t>
      </w:r>
    </w:p>
    <w:p w:rsidR="00CB7BC5" w:rsidRPr="00CB7BC5" w:rsidRDefault="00CB7BC5" w:rsidP="00CB7BC5">
      <w:r w:rsidRPr="00CB7BC5">
        <w:t>Non Senior Executive Service (SES) staff are entitled to the following benefits:</w:t>
      </w:r>
    </w:p>
    <w:p w:rsidR="00CB7BC5" w:rsidRDefault="00CB7BC5" w:rsidP="00CB7BC5">
      <w:pPr>
        <w:pStyle w:val="ListBullet"/>
      </w:pPr>
      <w:r>
        <w:t>Access to the Employee Assistance Program</w:t>
      </w:r>
    </w:p>
    <w:p w:rsidR="00CB7BC5" w:rsidRDefault="00CB7BC5" w:rsidP="00CB7BC5">
      <w:pPr>
        <w:pStyle w:val="ListBullet"/>
      </w:pPr>
      <w:r>
        <w:t>Extended purchase leave</w:t>
      </w:r>
    </w:p>
    <w:p w:rsidR="00CB7BC5" w:rsidRDefault="00CB7BC5" w:rsidP="00CB7BC5">
      <w:pPr>
        <w:pStyle w:val="ListBullet"/>
      </w:pPr>
      <w:r>
        <w:t>Maternity and adoption leave</w:t>
      </w:r>
    </w:p>
    <w:p w:rsidR="00CB7BC5" w:rsidRDefault="00CB7BC5" w:rsidP="00CB7BC5">
      <w:pPr>
        <w:pStyle w:val="ListBullet"/>
      </w:pPr>
      <w:r>
        <w:t>Parental leave</w:t>
      </w:r>
    </w:p>
    <w:p w:rsidR="00CB7BC5" w:rsidRDefault="00CB7BC5" w:rsidP="00CB7BC5">
      <w:pPr>
        <w:pStyle w:val="ListBullet"/>
      </w:pPr>
      <w:r>
        <w:t>Leave for personal compelling reasons and exceptional circumstances</w:t>
      </w:r>
    </w:p>
    <w:p w:rsidR="00CB7BC5" w:rsidRDefault="00CB7BC5" w:rsidP="00CB7BC5">
      <w:pPr>
        <w:pStyle w:val="ListBullet"/>
      </w:pPr>
      <w:r>
        <w:t>Access to paid leave at half pay</w:t>
      </w:r>
    </w:p>
    <w:p w:rsidR="00CB7BC5" w:rsidRDefault="00CB7BC5" w:rsidP="00CB7BC5">
      <w:pPr>
        <w:pStyle w:val="ListBullet"/>
      </w:pPr>
      <w:r>
        <w:t>Flextime (APS staff)</w:t>
      </w:r>
    </w:p>
    <w:p w:rsidR="00CB7BC5" w:rsidRDefault="00CB7BC5" w:rsidP="00CB7BC5">
      <w:pPr>
        <w:pStyle w:val="ListBullet"/>
      </w:pPr>
      <w:r>
        <w:t>Flexible working locations and home-based work where appropriate</w:t>
      </w:r>
    </w:p>
    <w:p w:rsidR="00CB7BC5" w:rsidRDefault="00CB7BC5" w:rsidP="008B7A65">
      <w:pPr>
        <w:pStyle w:val="ListBullet"/>
      </w:pPr>
      <w:r>
        <w:t>Access to laptop computers, dial-in facilities, electronic tablets and mobile phones</w:t>
      </w:r>
    </w:p>
    <w:p w:rsidR="009006CF" w:rsidRDefault="00CB7BC5" w:rsidP="008B7A65">
      <w:pPr>
        <w:pStyle w:val="ListBullet"/>
      </w:pPr>
      <w:r>
        <w:t>Study assistance</w:t>
      </w:r>
    </w:p>
    <w:p w:rsidR="008B7A65" w:rsidRPr="008B7A65" w:rsidRDefault="008B7A65" w:rsidP="008B7A65">
      <w:pPr>
        <w:pStyle w:val="ListBullet"/>
        <w:rPr>
          <w:lang w:val="en-GB"/>
        </w:rPr>
      </w:pPr>
      <w:r w:rsidRPr="008B7A65">
        <w:rPr>
          <w:lang w:val="en-GB"/>
        </w:rPr>
        <w:t>Support for professional and personal development</w:t>
      </w:r>
    </w:p>
    <w:p w:rsidR="008B7A65" w:rsidRPr="008B7A65" w:rsidRDefault="008B7A65" w:rsidP="008B7A65">
      <w:pPr>
        <w:pStyle w:val="ListBullet"/>
        <w:rPr>
          <w:lang w:val="en-GB"/>
        </w:rPr>
      </w:pPr>
      <w:r w:rsidRPr="008B7A65">
        <w:rPr>
          <w:lang w:val="en-GB"/>
        </w:rPr>
        <w:t>Refund of health and wellbeing expenses including provision of eyesight testing and reimbursement of prescription glasses</w:t>
      </w:r>
    </w:p>
    <w:p w:rsidR="008B7A65" w:rsidRPr="008B7A65" w:rsidRDefault="008B7A65" w:rsidP="008B7A65">
      <w:pPr>
        <w:pStyle w:val="ListBullet"/>
        <w:rPr>
          <w:lang w:val="en-GB"/>
        </w:rPr>
      </w:pPr>
      <w:r w:rsidRPr="008B7A65">
        <w:rPr>
          <w:lang w:val="en-GB"/>
        </w:rPr>
        <w:t>Family care rooms</w:t>
      </w:r>
    </w:p>
    <w:p w:rsidR="008B7A65" w:rsidRPr="008B7A65" w:rsidRDefault="008B7A65" w:rsidP="008B7A65">
      <w:pPr>
        <w:pStyle w:val="ListBullet"/>
        <w:rPr>
          <w:lang w:val="en-GB"/>
        </w:rPr>
      </w:pPr>
      <w:r w:rsidRPr="008B7A65">
        <w:rPr>
          <w:lang w:val="en-GB"/>
        </w:rPr>
        <w:t>Influenza vaccinations</w:t>
      </w:r>
    </w:p>
    <w:p w:rsidR="008B7A65" w:rsidRPr="008B7A65" w:rsidRDefault="008B7A65" w:rsidP="008B7A65">
      <w:pPr>
        <w:pStyle w:val="ListBullet"/>
        <w:rPr>
          <w:lang w:val="en-GB"/>
        </w:rPr>
      </w:pPr>
      <w:r w:rsidRPr="008B7A65">
        <w:rPr>
          <w:lang w:val="en-GB"/>
        </w:rPr>
        <w:t>Access to financial advice for staff 54 years and older</w:t>
      </w:r>
    </w:p>
    <w:p w:rsidR="008B7A65" w:rsidRPr="008B7A65" w:rsidRDefault="008B7A65" w:rsidP="008B7A65">
      <w:pPr>
        <w:pStyle w:val="ListBullet"/>
        <w:rPr>
          <w:lang w:val="en-GB"/>
        </w:rPr>
      </w:pPr>
      <w:r w:rsidRPr="008B7A65">
        <w:rPr>
          <w:lang w:val="en-GB"/>
        </w:rPr>
        <w:t>Access to salary packaging.</w:t>
      </w:r>
    </w:p>
    <w:p w:rsidR="008B7A65" w:rsidRPr="008B7A65" w:rsidRDefault="008B7A65" w:rsidP="008B7A65">
      <w:pPr>
        <w:rPr>
          <w:lang w:val="en-GB"/>
        </w:rPr>
      </w:pPr>
      <w:r w:rsidRPr="008B7A65">
        <w:rPr>
          <w:lang w:val="en-GB"/>
        </w:rPr>
        <w:t>Senior Executive Service remuneration:</w:t>
      </w:r>
    </w:p>
    <w:p w:rsidR="008B7A65" w:rsidRPr="008B7A65" w:rsidRDefault="008B7A65" w:rsidP="008B7A65">
      <w:pPr>
        <w:pStyle w:val="ListBullet"/>
        <w:rPr>
          <w:lang w:val="en-GB"/>
        </w:rPr>
      </w:pPr>
      <w:r w:rsidRPr="008B7A65">
        <w:rPr>
          <w:lang w:val="en-GB"/>
        </w:rPr>
        <w:t xml:space="preserve">SES officers are employed under the terms of a determination made under s. 24 of the </w:t>
      </w:r>
      <w:r w:rsidRPr="008B7A65">
        <w:rPr>
          <w:i/>
          <w:iCs/>
          <w:lang w:val="en-GB"/>
        </w:rPr>
        <w:t>Public Service Act 1999</w:t>
      </w:r>
      <w:r w:rsidRPr="008B7A65">
        <w:rPr>
          <w:lang w:val="en-GB"/>
        </w:rPr>
        <w:t>. The amount of remuneration received by SES officers in IHPA is determined on an individual basis by the CEO.</w:t>
      </w:r>
    </w:p>
    <w:p w:rsidR="008B7A65" w:rsidRDefault="008B7A65" w:rsidP="008B7A65">
      <w:pPr>
        <w:rPr>
          <w:b/>
          <w:bCs/>
          <w:lang w:val="en-GB"/>
        </w:rPr>
      </w:pPr>
      <w:r>
        <w:rPr>
          <w:b/>
          <w:bCs/>
          <w:lang w:val="en-GB"/>
        </w:rPr>
        <w:br w:type="page"/>
      </w:r>
    </w:p>
    <w:p w:rsidR="008B7A65" w:rsidRPr="008B7A65" w:rsidRDefault="008B7A65" w:rsidP="008B7A65">
      <w:pPr>
        <w:pStyle w:val="Heading3"/>
        <w:rPr>
          <w:lang w:val="en-GB"/>
        </w:rPr>
      </w:pPr>
      <w:r w:rsidRPr="008B7A65">
        <w:rPr>
          <w:lang w:val="en-GB"/>
        </w:rPr>
        <w:lastRenderedPageBreak/>
        <w:t>Training and development</w:t>
      </w:r>
    </w:p>
    <w:p w:rsidR="008B7A65" w:rsidRPr="008B7A65" w:rsidRDefault="008B7A65" w:rsidP="008B7A65">
      <w:pPr>
        <w:rPr>
          <w:lang w:val="en-GB"/>
        </w:rPr>
      </w:pPr>
      <w:r w:rsidRPr="008B7A65">
        <w:rPr>
          <w:lang w:val="en-GB"/>
        </w:rPr>
        <w:t xml:space="preserve">Training and development this year has focussed on building capabilities for the management team within IHPA. This was identified as a key area of growth for the agency in the Australian Public Service Census. IHPA also focused its training on performance development and internal sessions covering governance and compliance obligations of managers and staff. </w:t>
      </w:r>
    </w:p>
    <w:p w:rsidR="008B7A65" w:rsidRPr="008B7A65" w:rsidRDefault="008B7A65" w:rsidP="008B7A65">
      <w:pPr>
        <w:rPr>
          <w:lang w:val="en-GB"/>
        </w:rPr>
      </w:pPr>
      <w:r w:rsidRPr="008B7A65">
        <w:rPr>
          <w:lang w:val="en-GB"/>
        </w:rPr>
        <w:t xml:space="preserve">IHPA will be ensuring all applicable staff are offered the opportunity to undertake management training in 2015–16 to ensure the benefits gained within this financial year are carried over for future years. </w:t>
      </w:r>
    </w:p>
    <w:p w:rsidR="008B7A65" w:rsidRPr="008B7A65" w:rsidRDefault="008B7A65" w:rsidP="008B7A65">
      <w:pPr>
        <w:rPr>
          <w:lang w:val="en-GB"/>
        </w:rPr>
      </w:pPr>
      <w:r w:rsidRPr="008B7A65">
        <w:rPr>
          <w:lang w:val="en-GB"/>
        </w:rPr>
        <w:t xml:space="preserve">Staff also have access to the Department of Health’s ‘face-to-face’ and online learning and development opportunities. These will be enhanced through access to professional and industry specific training to further develop the skills of IHPA people. </w:t>
      </w:r>
    </w:p>
    <w:p w:rsidR="008B7A65" w:rsidRPr="008B7A65" w:rsidRDefault="008B7A65" w:rsidP="008B7A65">
      <w:pPr>
        <w:pStyle w:val="Heading3"/>
        <w:rPr>
          <w:lang w:val="en-GB"/>
        </w:rPr>
      </w:pPr>
      <w:r w:rsidRPr="008B7A65">
        <w:rPr>
          <w:lang w:val="en-GB"/>
        </w:rPr>
        <w:t>Work, health and safety (WHS)</w:t>
      </w:r>
    </w:p>
    <w:p w:rsidR="008B7A65" w:rsidRPr="008B7A65" w:rsidRDefault="008B7A65" w:rsidP="008B7A65">
      <w:pPr>
        <w:rPr>
          <w:lang w:val="en-GB"/>
        </w:rPr>
      </w:pPr>
      <w:r w:rsidRPr="008B7A65">
        <w:rPr>
          <w:lang w:val="en-GB"/>
        </w:rPr>
        <w:t xml:space="preserve">IHPA’s Workplace Health and Safety Committee continued in 2014–15 in accordance with the </w:t>
      </w:r>
      <w:r w:rsidRPr="008B7A65">
        <w:rPr>
          <w:i/>
          <w:iCs/>
          <w:lang w:val="en-GB"/>
        </w:rPr>
        <w:t>Work Health and Safety Act 2011</w:t>
      </w:r>
      <w:r w:rsidRPr="008B7A65">
        <w:rPr>
          <w:lang w:val="en-GB"/>
        </w:rPr>
        <w:t>. The committee held four meetings during the year and dealt with a range of WHS matters.</w:t>
      </w:r>
    </w:p>
    <w:p w:rsidR="008B7A65" w:rsidRPr="008B7A65" w:rsidRDefault="008B7A65" w:rsidP="008B7A65">
      <w:pPr>
        <w:rPr>
          <w:lang w:val="en-GB"/>
        </w:rPr>
      </w:pPr>
      <w:r w:rsidRPr="008B7A65">
        <w:rPr>
          <w:lang w:val="en-GB"/>
        </w:rPr>
        <w:t>The committee is chaired by the Human Resources Manager, the committee membership includes two management representatives and two health and safety representatives. The role of the committee is to consider and deal with WHS issues and provide independent assurance to the CEO and the IHPA Executive on the health and safety of IHPA staff.</w:t>
      </w:r>
    </w:p>
    <w:p w:rsidR="008B7A65" w:rsidRPr="008B7A65" w:rsidRDefault="008B7A65" w:rsidP="008B7A65">
      <w:pPr>
        <w:rPr>
          <w:lang w:val="en-GB"/>
        </w:rPr>
      </w:pPr>
      <w:r w:rsidRPr="008B7A65">
        <w:rPr>
          <w:lang w:val="en-GB"/>
        </w:rPr>
        <w:t>Quarterly WHS inspections were carried out by a management representative and a nominated health and safety representative. WHS risks were identified and remediation action was recommended to the IHPA Executive for consideration.</w:t>
      </w:r>
    </w:p>
    <w:p w:rsidR="008B7A65" w:rsidRPr="008B7A65" w:rsidRDefault="008B7A65" w:rsidP="00711605">
      <w:pPr>
        <w:pStyle w:val="Heading3"/>
        <w:rPr>
          <w:lang w:val="en-GB"/>
        </w:rPr>
      </w:pPr>
      <w:r w:rsidRPr="008B7A65">
        <w:rPr>
          <w:lang w:val="en-GB"/>
        </w:rPr>
        <w:t>Workplace agreements</w:t>
      </w:r>
    </w:p>
    <w:p w:rsidR="008B7A65" w:rsidRPr="008B7A65" w:rsidRDefault="008B7A65" w:rsidP="008B7A65">
      <w:pPr>
        <w:rPr>
          <w:lang w:val="en-GB"/>
        </w:rPr>
      </w:pPr>
      <w:r w:rsidRPr="008B7A65">
        <w:rPr>
          <w:lang w:val="en-GB"/>
        </w:rPr>
        <w:t xml:space="preserve">The </w:t>
      </w:r>
      <w:r w:rsidRPr="008B7A65">
        <w:rPr>
          <w:i/>
          <w:iCs/>
          <w:lang w:val="en-GB"/>
        </w:rPr>
        <w:t>Public Service Act 1999</w:t>
      </w:r>
      <w:r w:rsidRPr="008B7A65">
        <w:rPr>
          <w:lang w:val="en-GB"/>
        </w:rPr>
        <w:t xml:space="preserve"> provides the employment framework for IHPA.</w:t>
      </w:r>
    </w:p>
    <w:p w:rsidR="008B7A65" w:rsidRPr="008B7A65" w:rsidRDefault="008B7A65" w:rsidP="008B7A65">
      <w:pPr>
        <w:rPr>
          <w:lang w:val="en-GB"/>
        </w:rPr>
      </w:pPr>
      <w:r w:rsidRPr="008B7A65">
        <w:rPr>
          <w:lang w:val="en-GB"/>
        </w:rPr>
        <w:t xml:space="preserve">All APS and non-APS Enterprise Agreements had a nominal expiry date 1 July 2014. Under the </w:t>
      </w:r>
      <w:r w:rsidRPr="008B7A65">
        <w:rPr>
          <w:i/>
          <w:iCs/>
          <w:lang w:val="en-GB"/>
        </w:rPr>
        <w:t>Fair Work Act 2009</w:t>
      </w:r>
      <w:r w:rsidRPr="008B7A65">
        <w:rPr>
          <w:lang w:val="en-GB"/>
        </w:rPr>
        <w:t>, agreements continue to operate after their nominal expiry date until they are replaced or terminated.</w:t>
      </w:r>
    </w:p>
    <w:p w:rsidR="008B7A65" w:rsidRPr="008B7A65" w:rsidRDefault="008B7A65" w:rsidP="008B7A65">
      <w:pPr>
        <w:rPr>
          <w:lang w:val="en-GB"/>
        </w:rPr>
      </w:pPr>
      <w:r w:rsidRPr="008B7A65">
        <w:rPr>
          <w:lang w:val="en-GB"/>
        </w:rPr>
        <w:t>IHPA continues to develop its bargaining position in accordance with the Australian Government Public Sector Workplace Bargaining Policy 2015 and continues to negotiate with staff and union delegates to develop a new enterprise agreement</w:t>
      </w:r>
    </w:p>
    <w:p w:rsidR="005E37E8" w:rsidRDefault="005E37E8" w:rsidP="00711605">
      <w:pPr>
        <w:pStyle w:val="Heading3"/>
        <w:rPr>
          <w:lang w:val="en-GB"/>
        </w:rPr>
      </w:pPr>
      <w:r>
        <w:rPr>
          <w:lang w:val="en-GB"/>
        </w:rPr>
        <w:br w:type="page"/>
      </w:r>
    </w:p>
    <w:p w:rsidR="008B7A65" w:rsidRPr="008B7A65" w:rsidRDefault="008B7A65" w:rsidP="00711605">
      <w:pPr>
        <w:pStyle w:val="Heading3"/>
        <w:rPr>
          <w:lang w:val="en-GB"/>
        </w:rPr>
      </w:pPr>
      <w:r w:rsidRPr="008B7A65">
        <w:rPr>
          <w:lang w:val="en-GB"/>
        </w:rPr>
        <w:lastRenderedPageBreak/>
        <w:t>Individual Flexibility Agreements (IFAs)</w:t>
      </w:r>
    </w:p>
    <w:p w:rsidR="008B7A65" w:rsidRPr="008B7A65" w:rsidRDefault="008B7A65" w:rsidP="008B7A65">
      <w:pPr>
        <w:rPr>
          <w:lang w:val="en-GB"/>
        </w:rPr>
      </w:pPr>
      <w:r w:rsidRPr="008B7A65">
        <w:rPr>
          <w:lang w:val="en-GB"/>
        </w:rPr>
        <w:t xml:space="preserve">As at 30 June 2015, seven non-SES staff members had IFAs covering specific conditions of employment. </w:t>
      </w:r>
    </w:p>
    <w:p w:rsidR="008B7A65" w:rsidRPr="008B7A65" w:rsidRDefault="008B7A65" w:rsidP="00711605">
      <w:pPr>
        <w:pStyle w:val="Heading3"/>
        <w:rPr>
          <w:lang w:val="en-GB"/>
        </w:rPr>
      </w:pPr>
      <w:r w:rsidRPr="008B7A65">
        <w:rPr>
          <w:lang w:val="en-GB"/>
        </w:rPr>
        <w:t>Indigenous employment</w:t>
      </w:r>
    </w:p>
    <w:p w:rsidR="008B7A65" w:rsidRPr="008B7A65" w:rsidRDefault="008B7A65" w:rsidP="008B7A65">
      <w:pPr>
        <w:rPr>
          <w:lang w:val="en-GB"/>
        </w:rPr>
      </w:pPr>
      <w:r w:rsidRPr="008B7A65">
        <w:rPr>
          <w:lang w:val="en-GB"/>
        </w:rPr>
        <w:t>As at 30 June 2015, two staff members identified as Indigenous.</w:t>
      </w:r>
    </w:p>
    <w:p w:rsidR="008B7A65" w:rsidRPr="008B7A65" w:rsidRDefault="008B7A65" w:rsidP="00711605">
      <w:pPr>
        <w:pStyle w:val="Heading3"/>
        <w:rPr>
          <w:lang w:val="en-GB"/>
        </w:rPr>
      </w:pPr>
      <w:r w:rsidRPr="008B7A65">
        <w:rPr>
          <w:lang w:val="en-GB"/>
        </w:rPr>
        <w:t>Performance pay</w:t>
      </w:r>
    </w:p>
    <w:p w:rsidR="008B7A65" w:rsidRPr="008B7A65" w:rsidRDefault="008B7A65" w:rsidP="008B7A65">
      <w:pPr>
        <w:rPr>
          <w:lang w:val="en-GB"/>
        </w:rPr>
      </w:pPr>
      <w:r w:rsidRPr="008B7A65">
        <w:rPr>
          <w:lang w:val="en-GB"/>
        </w:rPr>
        <w:t>No performance pay was issued during this financial year.</w:t>
      </w:r>
    </w:p>
    <w:p w:rsidR="008B7A65" w:rsidRPr="008B7A65" w:rsidRDefault="008B7A65" w:rsidP="00711605">
      <w:pPr>
        <w:pStyle w:val="Heading3"/>
        <w:rPr>
          <w:lang w:val="en-GB"/>
        </w:rPr>
      </w:pPr>
      <w:r w:rsidRPr="008B7A65">
        <w:rPr>
          <w:lang w:val="en-GB"/>
        </w:rPr>
        <w:t>Ethical standards</w:t>
      </w:r>
    </w:p>
    <w:p w:rsidR="008B7A65" w:rsidRPr="008B7A65" w:rsidRDefault="008B7A65" w:rsidP="008B7A65">
      <w:pPr>
        <w:rPr>
          <w:lang w:val="en-GB"/>
        </w:rPr>
      </w:pPr>
      <w:r w:rsidRPr="008B7A65">
        <w:rPr>
          <w:lang w:val="en-GB"/>
        </w:rPr>
        <w:t xml:space="preserve">IHPA is committed to promoting and maintaining behavioural standards contained in the Australian Public Sector (APS) Values and Code of Conduct as set out in the </w:t>
      </w:r>
      <w:r w:rsidRPr="008B7A65">
        <w:rPr>
          <w:i/>
          <w:iCs/>
          <w:lang w:val="en-GB"/>
        </w:rPr>
        <w:t>Public Service Act 1999</w:t>
      </w:r>
      <w:r w:rsidRPr="008B7A65">
        <w:rPr>
          <w:lang w:val="en-GB"/>
        </w:rPr>
        <w:t>. Induction programs and new starter packs provide information and guidance material covering the Australian Public Service Commission’s APS values and Code of Conduct. Managers and employees also have access to supplementary APS Values and Code of Conduct information via the Department of Health’s intranet.</w:t>
      </w:r>
    </w:p>
    <w:p w:rsidR="008B7A65" w:rsidRPr="008B7A65" w:rsidRDefault="008B7A65" w:rsidP="00711605">
      <w:pPr>
        <w:pStyle w:val="Heading3"/>
        <w:rPr>
          <w:lang w:val="en-GB"/>
        </w:rPr>
      </w:pPr>
      <w:r w:rsidRPr="008B7A65">
        <w:rPr>
          <w:lang w:val="en-GB"/>
        </w:rPr>
        <w:t xml:space="preserve">Compliance with </w:t>
      </w:r>
      <w:r w:rsidRPr="00711605">
        <w:rPr>
          <w:i/>
          <w:lang w:val="en-GB"/>
        </w:rPr>
        <w:t>Carer Recognition Act 2010</w:t>
      </w:r>
    </w:p>
    <w:p w:rsidR="008B7A65" w:rsidRPr="008B7A65" w:rsidRDefault="008B7A65" w:rsidP="008B7A65">
      <w:pPr>
        <w:rPr>
          <w:lang w:val="en-GB"/>
        </w:rPr>
      </w:pPr>
      <w:r w:rsidRPr="008B7A65">
        <w:rPr>
          <w:lang w:val="en-GB"/>
        </w:rPr>
        <w:t>IHPA has due regard to Australia’s Carers Statement. Staff are aware of the statement as human resource policies and procedures on this topic are developed and implemented.</w:t>
      </w:r>
    </w:p>
    <w:p w:rsidR="008B7A65" w:rsidRPr="008B7A65" w:rsidRDefault="008B7A65" w:rsidP="00711605">
      <w:pPr>
        <w:pStyle w:val="Heading3"/>
        <w:rPr>
          <w:lang w:val="en-GB"/>
        </w:rPr>
      </w:pPr>
      <w:r w:rsidRPr="008B7A65">
        <w:rPr>
          <w:lang w:val="en-GB"/>
        </w:rPr>
        <w:t>Disability reporting</w:t>
      </w:r>
    </w:p>
    <w:p w:rsidR="008B7A65" w:rsidRPr="008B7A65" w:rsidRDefault="008B7A65" w:rsidP="008B7A65">
      <w:pPr>
        <w:rPr>
          <w:lang w:val="en-GB"/>
        </w:rPr>
      </w:pPr>
      <w:r w:rsidRPr="008B7A65">
        <w:rPr>
          <w:lang w:val="en-GB"/>
        </w:rPr>
        <w:t xml:space="preserve">Since 1994, Commonwealth departments and agencies have reported on their performance as policy adviser, purchaser, employer, regulator and provider under the </w:t>
      </w:r>
      <w:r w:rsidRPr="008B7A65">
        <w:rPr>
          <w:i/>
          <w:iCs/>
          <w:lang w:val="en-GB"/>
        </w:rPr>
        <w:t>Commonwealth Disability Strategy</w:t>
      </w:r>
      <w:r w:rsidRPr="008B7A65">
        <w:rPr>
          <w:lang w:val="en-GB"/>
        </w:rPr>
        <w:t xml:space="preserve">. In 2007–08, reporting on the employer role was transferred to the Australian Public Service Commission’s State of the Service Report and the </w:t>
      </w:r>
      <w:r w:rsidRPr="008B7A65">
        <w:rPr>
          <w:i/>
          <w:iCs/>
          <w:lang w:val="en-GB"/>
        </w:rPr>
        <w:t>APS Statistical Bulletin</w:t>
      </w:r>
      <w:r w:rsidRPr="008B7A65">
        <w:rPr>
          <w:lang w:val="en-GB"/>
        </w:rPr>
        <w:t xml:space="preserve">. These reports are available at </w:t>
      </w:r>
      <w:hyperlink r:id="rId33" w:history="1">
        <w:r w:rsidRPr="008B7A65">
          <w:rPr>
            <w:rStyle w:val="Hyperlink"/>
            <w:lang w:val="en-GB"/>
          </w:rPr>
          <w:t>www.apsc.gov.au</w:t>
        </w:r>
      </w:hyperlink>
      <w:r w:rsidRPr="008B7A65">
        <w:rPr>
          <w:lang w:val="en-GB"/>
        </w:rPr>
        <w:t>. From 2010–11, departments and agencies have no longer been required to report on these functions.</w:t>
      </w:r>
    </w:p>
    <w:p w:rsidR="008B7A65" w:rsidRPr="008B7A65" w:rsidRDefault="008B7A65" w:rsidP="008B7A65">
      <w:pPr>
        <w:rPr>
          <w:lang w:val="en-GB"/>
        </w:rPr>
      </w:pPr>
      <w:r w:rsidRPr="008B7A65">
        <w:rPr>
          <w:lang w:val="en-GB"/>
        </w:rPr>
        <w:t xml:space="preserve">The </w:t>
      </w:r>
      <w:r w:rsidRPr="008B7A65">
        <w:rPr>
          <w:i/>
          <w:iCs/>
          <w:lang w:val="en-GB"/>
        </w:rPr>
        <w:t>Commonwealth Disability Strategy</w:t>
      </w:r>
      <w:r w:rsidRPr="008B7A65">
        <w:rPr>
          <w:lang w:val="en-GB"/>
        </w:rPr>
        <w:t xml:space="preserve"> has been overtaken the new </w:t>
      </w:r>
      <w:r w:rsidRPr="008B7A65">
        <w:rPr>
          <w:i/>
          <w:iCs/>
          <w:lang w:val="en-GB"/>
        </w:rPr>
        <w:t xml:space="preserve">National Disability Strategy 2010–2020 </w:t>
      </w:r>
      <w:r w:rsidRPr="008B7A65">
        <w:rPr>
          <w:lang w:val="en-GB"/>
        </w:rPr>
        <w:t xml:space="preserve">which sets out a ten year national policy framework to improve the lives of people with disability, promote participation and create a more inclusive society. A high level two-yearly report will track progress against each of the six outcome areas of the strategy and present a picture of how people with disability are faring. The first of these reports will be available in 2015, and can be found at </w:t>
      </w:r>
      <w:hyperlink r:id="rId34" w:history="1">
        <w:r w:rsidRPr="008B7A65">
          <w:rPr>
            <w:rStyle w:val="Hyperlink"/>
            <w:lang w:val="en-GB"/>
          </w:rPr>
          <w:t>www.dss.gov.au</w:t>
        </w:r>
      </w:hyperlink>
      <w:r w:rsidRPr="008B7A65">
        <w:rPr>
          <w:lang w:val="en-GB"/>
        </w:rPr>
        <w:t xml:space="preserve"> </w:t>
      </w:r>
    </w:p>
    <w:p w:rsidR="005E37E8" w:rsidRDefault="005E37E8" w:rsidP="00711605">
      <w:pPr>
        <w:pStyle w:val="Heading3"/>
        <w:rPr>
          <w:lang w:val="en-GB"/>
        </w:rPr>
      </w:pPr>
      <w:r>
        <w:rPr>
          <w:lang w:val="en-GB"/>
        </w:rPr>
        <w:br w:type="page"/>
      </w:r>
    </w:p>
    <w:p w:rsidR="008B7A65" w:rsidRPr="008B7A65" w:rsidRDefault="008B7A65" w:rsidP="00711605">
      <w:pPr>
        <w:pStyle w:val="Heading3"/>
        <w:rPr>
          <w:lang w:val="en-GB"/>
        </w:rPr>
      </w:pPr>
      <w:r w:rsidRPr="008B7A65">
        <w:rPr>
          <w:lang w:val="en-GB"/>
        </w:rPr>
        <w:lastRenderedPageBreak/>
        <w:t>Leave reporting</w:t>
      </w:r>
    </w:p>
    <w:p w:rsidR="008B7A65" w:rsidRPr="008B7A65" w:rsidRDefault="008B7A65" w:rsidP="008B7A65">
      <w:pPr>
        <w:rPr>
          <w:lang w:val="en-GB"/>
        </w:rPr>
      </w:pPr>
      <w:r w:rsidRPr="008B7A65">
        <w:rPr>
          <w:lang w:val="en-GB"/>
        </w:rPr>
        <w:t>IHPA presented a detailed monthly unplanned leave report to the CEO. The report ensured leave was being entered accurately and within the correct pay periods. It also identified that IHPA’s unplanned leave ratio at 30 June 2015 was below the Australian Public Service Commission average.</w:t>
      </w:r>
    </w:p>
    <w:p w:rsidR="008B7A65" w:rsidRPr="008B7A65" w:rsidRDefault="008B7A65" w:rsidP="00711605">
      <w:pPr>
        <w:pStyle w:val="Heading3"/>
        <w:rPr>
          <w:lang w:val="en-GB"/>
        </w:rPr>
      </w:pPr>
      <w:r w:rsidRPr="008B7A65">
        <w:rPr>
          <w:lang w:val="en-GB"/>
        </w:rPr>
        <w:t>Equal employment opportunity</w:t>
      </w:r>
    </w:p>
    <w:p w:rsidR="008B7A65" w:rsidRPr="008B7A65" w:rsidRDefault="008B7A65" w:rsidP="008B7A65">
      <w:pPr>
        <w:rPr>
          <w:lang w:val="en-GB"/>
        </w:rPr>
      </w:pPr>
      <w:r w:rsidRPr="008B7A65">
        <w:rPr>
          <w:lang w:val="en-GB"/>
        </w:rPr>
        <w:t>IHPA is an inclusive organisation that values fairness, equity and diversity consistent with the APS Values and Code of Conduct. The organisation is committed to the principles of workplace diversity and equity in employment, which include recognising, respecting, valuing and utilising individual difference. Comprehensive diversity and harassment policies have been developed to underpin this commitment.</w:t>
      </w:r>
    </w:p>
    <w:p w:rsidR="008B7A65" w:rsidRPr="008B7A65" w:rsidRDefault="008B7A65" w:rsidP="00711605">
      <w:pPr>
        <w:pStyle w:val="Heading3"/>
        <w:rPr>
          <w:lang w:val="en-GB"/>
        </w:rPr>
      </w:pPr>
      <w:r w:rsidRPr="008B7A65">
        <w:rPr>
          <w:lang w:val="en-GB"/>
        </w:rPr>
        <w:t xml:space="preserve">Workplace diversity </w:t>
      </w:r>
    </w:p>
    <w:p w:rsidR="008B7A65" w:rsidRPr="008B7A65" w:rsidRDefault="008B7A65" w:rsidP="008B7A65">
      <w:pPr>
        <w:rPr>
          <w:lang w:val="en-GB"/>
        </w:rPr>
      </w:pPr>
      <w:r w:rsidRPr="008B7A65">
        <w:rPr>
          <w:lang w:val="en-GB"/>
        </w:rPr>
        <w:t xml:space="preserve">IHPA developed an </w:t>
      </w:r>
      <w:r w:rsidRPr="008B7A65">
        <w:rPr>
          <w:i/>
          <w:iCs/>
          <w:lang w:val="en-GB"/>
        </w:rPr>
        <w:t>Agency Multicultural Plan for 2014–15</w:t>
      </w:r>
      <w:r w:rsidRPr="008B7A65">
        <w:rPr>
          <w:lang w:val="en-GB"/>
        </w:rPr>
        <w:t xml:space="preserve"> (AMP) and published it on IHPA’s website. The key areas of focus in this AMP cycle is ‘engagement’ and ‘responsiveness’. The delivery of IHPA’s work program requires effective policy development, engagement and communication strategies with all stakeholders, including culturally and linguistically diverse communities to achieve IHPA’s legislative requirements. </w:t>
      </w:r>
    </w:p>
    <w:p w:rsidR="005E37E8" w:rsidRDefault="005E37E8" w:rsidP="00CB7BC5">
      <w:r>
        <w:br w:type="page"/>
      </w:r>
    </w:p>
    <w:p w:rsidR="00011CE3" w:rsidRDefault="00CA11D0" w:rsidP="00CA11D0">
      <w:pPr>
        <w:pStyle w:val="Heading1"/>
      </w:pPr>
      <w:bookmarkStart w:id="9" w:name="_Toc432437399"/>
      <w:r w:rsidRPr="00CA11D0">
        <w:rPr>
          <w:caps w:val="0"/>
          <w:color w:val="FFFFFF" w:themeColor="background1"/>
          <w:sz w:val="32"/>
          <w:szCs w:val="32"/>
        </w:rPr>
        <w:lastRenderedPageBreak/>
        <w:t>Chapter 5</w:t>
      </w:r>
      <w:r w:rsidRPr="00CA11D0">
        <w:rPr>
          <w:caps w:val="0"/>
          <w:color w:val="FFFFFF" w:themeColor="background1"/>
          <w:sz w:val="32"/>
          <w:szCs w:val="32"/>
        </w:rPr>
        <w:br/>
      </w:r>
      <w:r>
        <w:rPr>
          <w:color w:val="FFFFFF" w:themeColor="background1"/>
        </w:rPr>
        <w:t>Financial</w:t>
      </w:r>
      <w:r>
        <w:rPr>
          <w:color w:val="FFFFFF" w:themeColor="background1"/>
        </w:rPr>
        <w:br/>
      </w:r>
      <w:r w:rsidRPr="00CA11D0">
        <w:rPr>
          <w:color w:val="FFFFFF" w:themeColor="background1"/>
        </w:rPr>
        <w:t>Management</w:t>
      </w:r>
      <w:r w:rsidRPr="00142D10">
        <w:rPr>
          <w:noProof/>
          <w:color w:val="FFFFFF" w:themeColor="background1"/>
          <w:sz w:val="32"/>
          <w:szCs w:val="32"/>
        </w:rPr>
        <w:drawing>
          <wp:anchor distT="0" distB="0" distL="114300" distR="114300" simplePos="0" relativeHeight="251664384" behindDoc="1" locked="0" layoutInCell="0" allowOverlap="1" wp14:anchorId="2F7E409D" wp14:editId="1981A1A0">
            <wp:simplePos x="0" y="0"/>
            <wp:positionH relativeFrom="page">
              <wp:align>left</wp:align>
            </wp:positionH>
            <wp:positionV relativeFrom="page">
              <wp:align>top</wp:align>
            </wp:positionV>
            <wp:extent cx="7560000" cy="10692000"/>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9"/>
      <w:r w:rsidR="00011CE3">
        <w:br w:type="page"/>
      </w:r>
    </w:p>
    <w:p w:rsidR="008B7A65" w:rsidRDefault="001B60D4" w:rsidP="001B60D4">
      <w:pPr>
        <w:pStyle w:val="TOCHeading"/>
      </w:pPr>
      <w:r>
        <w:lastRenderedPageBreak/>
        <w:t>contents</w:t>
      </w:r>
    </w:p>
    <w:p w:rsidR="00993236" w:rsidRPr="006273BC" w:rsidRDefault="00A46DF5">
      <w:pPr>
        <w:pStyle w:val="TOC1"/>
        <w:rPr>
          <w:rFonts w:asciiTheme="minorHAnsi" w:eastAsiaTheme="minorEastAsia" w:hAnsiTheme="minorHAnsi" w:cstheme="minorBidi"/>
          <w:b/>
          <w:szCs w:val="22"/>
        </w:rPr>
      </w:pPr>
      <w:r>
        <w:fldChar w:fldCharType="begin"/>
      </w:r>
      <w:r>
        <w:instrText xml:space="preserve"> TOC \h \z \t "Financials H1,1,Financials H2,2" </w:instrText>
      </w:r>
      <w:r>
        <w:fldChar w:fldCharType="separate"/>
      </w:r>
      <w:hyperlink w:anchor="_Toc433193194" w:history="1">
        <w:r w:rsidR="00993236" w:rsidRPr="006273BC">
          <w:rPr>
            <w:rStyle w:val="Hyperlink"/>
            <w:b/>
          </w:rPr>
          <w:t>Financial Performance</w:t>
        </w:r>
        <w:r w:rsidR="00993236" w:rsidRPr="006273BC">
          <w:rPr>
            <w:b/>
            <w:webHidden/>
          </w:rPr>
          <w:tab/>
        </w:r>
        <w:r w:rsidR="00993236" w:rsidRPr="006273BC">
          <w:rPr>
            <w:b/>
            <w:webHidden/>
          </w:rPr>
          <w:fldChar w:fldCharType="begin"/>
        </w:r>
        <w:r w:rsidR="00993236" w:rsidRPr="006273BC">
          <w:rPr>
            <w:b/>
            <w:webHidden/>
          </w:rPr>
          <w:instrText xml:space="preserve"> PAGEREF _Toc433193194 \h </w:instrText>
        </w:r>
        <w:r w:rsidR="00993236" w:rsidRPr="006273BC">
          <w:rPr>
            <w:b/>
            <w:webHidden/>
          </w:rPr>
        </w:r>
        <w:r w:rsidR="00993236" w:rsidRPr="006273BC">
          <w:rPr>
            <w:b/>
            <w:webHidden/>
          </w:rPr>
          <w:fldChar w:fldCharType="separate"/>
        </w:r>
        <w:r w:rsidR="00C92FE8">
          <w:rPr>
            <w:b/>
            <w:webHidden/>
          </w:rPr>
          <w:t>65</w:t>
        </w:r>
        <w:r w:rsidR="00993236" w:rsidRPr="006273BC">
          <w:rPr>
            <w:b/>
            <w:webHidden/>
          </w:rPr>
          <w:fldChar w:fldCharType="end"/>
        </w:r>
      </w:hyperlink>
    </w:p>
    <w:p w:rsidR="00993236" w:rsidRPr="006273BC" w:rsidRDefault="00825F9D">
      <w:pPr>
        <w:pStyle w:val="TOC1"/>
        <w:rPr>
          <w:rFonts w:asciiTheme="minorHAnsi" w:eastAsiaTheme="minorEastAsia" w:hAnsiTheme="minorHAnsi" w:cstheme="minorBidi"/>
          <w:b/>
          <w:szCs w:val="22"/>
        </w:rPr>
      </w:pPr>
      <w:hyperlink w:anchor="_Toc433193195" w:history="1">
        <w:r w:rsidR="00993236" w:rsidRPr="006273BC">
          <w:rPr>
            <w:rStyle w:val="Hyperlink"/>
            <w:b/>
          </w:rPr>
          <w:t>Independent Auditors Report</w:t>
        </w:r>
        <w:r w:rsidR="00993236" w:rsidRPr="006273BC">
          <w:rPr>
            <w:b/>
            <w:webHidden/>
          </w:rPr>
          <w:tab/>
        </w:r>
        <w:r w:rsidR="00993236" w:rsidRPr="006273BC">
          <w:rPr>
            <w:b/>
            <w:webHidden/>
          </w:rPr>
          <w:fldChar w:fldCharType="begin"/>
        </w:r>
        <w:r w:rsidR="00993236" w:rsidRPr="006273BC">
          <w:rPr>
            <w:b/>
            <w:webHidden/>
          </w:rPr>
          <w:instrText xml:space="preserve"> PAGEREF _Toc433193195 \h </w:instrText>
        </w:r>
        <w:r w:rsidR="00993236" w:rsidRPr="006273BC">
          <w:rPr>
            <w:b/>
            <w:webHidden/>
          </w:rPr>
        </w:r>
        <w:r w:rsidR="00993236" w:rsidRPr="006273BC">
          <w:rPr>
            <w:b/>
            <w:webHidden/>
          </w:rPr>
          <w:fldChar w:fldCharType="separate"/>
        </w:r>
        <w:r w:rsidR="00C92FE8">
          <w:rPr>
            <w:b/>
            <w:webHidden/>
          </w:rPr>
          <w:t>66</w:t>
        </w:r>
        <w:r w:rsidR="00993236" w:rsidRPr="006273BC">
          <w:rPr>
            <w:b/>
            <w:webHidden/>
          </w:rPr>
          <w:fldChar w:fldCharType="end"/>
        </w:r>
      </w:hyperlink>
    </w:p>
    <w:p w:rsidR="00993236" w:rsidRPr="006273BC" w:rsidRDefault="00825F9D">
      <w:pPr>
        <w:pStyle w:val="TOC1"/>
        <w:rPr>
          <w:rFonts w:asciiTheme="minorHAnsi" w:eastAsiaTheme="minorEastAsia" w:hAnsiTheme="minorHAnsi" w:cstheme="minorBidi"/>
          <w:b/>
          <w:szCs w:val="22"/>
        </w:rPr>
      </w:pPr>
      <w:hyperlink w:anchor="_Toc433193196" w:history="1">
        <w:r w:rsidR="00993236" w:rsidRPr="006273BC">
          <w:rPr>
            <w:rStyle w:val="Hyperlink"/>
            <w:b/>
          </w:rPr>
          <w:t>Statement of Officers</w:t>
        </w:r>
        <w:r w:rsidR="00993236" w:rsidRPr="006273BC">
          <w:rPr>
            <w:b/>
            <w:webHidden/>
          </w:rPr>
          <w:tab/>
        </w:r>
        <w:r w:rsidR="00993236" w:rsidRPr="006273BC">
          <w:rPr>
            <w:b/>
            <w:webHidden/>
          </w:rPr>
          <w:fldChar w:fldCharType="begin"/>
        </w:r>
        <w:r w:rsidR="00993236" w:rsidRPr="006273BC">
          <w:rPr>
            <w:b/>
            <w:webHidden/>
          </w:rPr>
          <w:instrText xml:space="preserve"> PAGEREF _Toc433193196 \h </w:instrText>
        </w:r>
        <w:r w:rsidR="00993236" w:rsidRPr="006273BC">
          <w:rPr>
            <w:b/>
            <w:webHidden/>
          </w:rPr>
        </w:r>
        <w:r w:rsidR="00993236" w:rsidRPr="006273BC">
          <w:rPr>
            <w:b/>
            <w:webHidden/>
          </w:rPr>
          <w:fldChar w:fldCharType="separate"/>
        </w:r>
        <w:r w:rsidR="00C92FE8">
          <w:rPr>
            <w:b/>
            <w:webHidden/>
          </w:rPr>
          <w:t>68</w:t>
        </w:r>
        <w:r w:rsidR="00993236" w:rsidRPr="006273BC">
          <w:rPr>
            <w:b/>
            <w:webHidden/>
          </w:rPr>
          <w:fldChar w:fldCharType="end"/>
        </w:r>
      </w:hyperlink>
    </w:p>
    <w:p w:rsidR="00993236" w:rsidRPr="006273BC" w:rsidRDefault="00825F9D">
      <w:pPr>
        <w:pStyle w:val="TOC1"/>
        <w:rPr>
          <w:rFonts w:asciiTheme="minorHAnsi" w:eastAsiaTheme="minorEastAsia" w:hAnsiTheme="minorHAnsi" w:cstheme="minorBidi"/>
          <w:b/>
          <w:szCs w:val="22"/>
        </w:rPr>
      </w:pPr>
      <w:hyperlink w:anchor="_Toc433193197" w:history="1">
        <w:r w:rsidR="00993236" w:rsidRPr="006273BC">
          <w:rPr>
            <w:rStyle w:val="Hyperlink"/>
            <w:b/>
          </w:rPr>
          <w:t>Financial Statements</w:t>
        </w:r>
        <w:r w:rsidR="00993236" w:rsidRPr="006273BC">
          <w:rPr>
            <w:b/>
            <w:webHidden/>
          </w:rPr>
          <w:tab/>
        </w:r>
        <w:r w:rsidR="00993236" w:rsidRPr="006273BC">
          <w:rPr>
            <w:b/>
            <w:webHidden/>
          </w:rPr>
          <w:fldChar w:fldCharType="begin"/>
        </w:r>
        <w:r w:rsidR="00993236" w:rsidRPr="006273BC">
          <w:rPr>
            <w:b/>
            <w:webHidden/>
          </w:rPr>
          <w:instrText xml:space="preserve"> PAGEREF _Toc433193197 \h </w:instrText>
        </w:r>
        <w:r w:rsidR="00993236" w:rsidRPr="006273BC">
          <w:rPr>
            <w:b/>
            <w:webHidden/>
          </w:rPr>
        </w:r>
        <w:r w:rsidR="00993236" w:rsidRPr="006273BC">
          <w:rPr>
            <w:b/>
            <w:webHidden/>
          </w:rPr>
          <w:fldChar w:fldCharType="separate"/>
        </w:r>
        <w:r w:rsidR="00C92FE8">
          <w:rPr>
            <w:b/>
            <w:webHidden/>
          </w:rPr>
          <w:t>69</w:t>
        </w:r>
        <w:r w:rsidR="00993236" w:rsidRPr="006273BC">
          <w:rPr>
            <w:b/>
            <w:webHidden/>
          </w:rPr>
          <w:fldChar w:fldCharType="end"/>
        </w:r>
      </w:hyperlink>
    </w:p>
    <w:p w:rsidR="00993236" w:rsidRDefault="00825F9D">
      <w:pPr>
        <w:pStyle w:val="TOC2"/>
        <w:rPr>
          <w:rFonts w:asciiTheme="minorHAnsi" w:eastAsiaTheme="minorEastAsia" w:hAnsiTheme="minorHAnsi" w:cstheme="minorBidi"/>
          <w:szCs w:val="22"/>
        </w:rPr>
      </w:pPr>
      <w:hyperlink w:anchor="_Toc433193198" w:history="1">
        <w:r w:rsidR="00993236" w:rsidRPr="00AE0B62">
          <w:rPr>
            <w:rStyle w:val="Hyperlink"/>
          </w:rPr>
          <w:t>Statement of comprehensive income</w:t>
        </w:r>
        <w:r w:rsidR="00993236">
          <w:rPr>
            <w:webHidden/>
          </w:rPr>
          <w:tab/>
        </w:r>
        <w:r w:rsidR="00993236">
          <w:rPr>
            <w:webHidden/>
          </w:rPr>
          <w:fldChar w:fldCharType="begin"/>
        </w:r>
        <w:r w:rsidR="00993236">
          <w:rPr>
            <w:webHidden/>
          </w:rPr>
          <w:instrText xml:space="preserve"> PAGEREF _Toc433193198 \h </w:instrText>
        </w:r>
        <w:r w:rsidR="00993236">
          <w:rPr>
            <w:webHidden/>
          </w:rPr>
        </w:r>
        <w:r w:rsidR="00993236">
          <w:rPr>
            <w:webHidden/>
          </w:rPr>
          <w:fldChar w:fldCharType="separate"/>
        </w:r>
        <w:r w:rsidR="00C92FE8">
          <w:rPr>
            <w:webHidden/>
          </w:rPr>
          <w:t>69</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199" w:history="1">
        <w:r w:rsidR="00993236" w:rsidRPr="00AE0B62">
          <w:rPr>
            <w:rStyle w:val="Hyperlink"/>
          </w:rPr>
          <w:t>Statement of financial position</w:t>
        </w:r>
        <w:r w:rsidR="00993236">
          <w:rPr>
            <w:webHidden/>
          </w:rPr>
          <w:tab/>
        </w:r>
        <w:r w:rsidR="00993236">
          <w:rPr>
            <w:webHidden/>
          </w:rPr>
          <w:fldChar w:fldCharType="begin"/>
        </w:r>
        <w:r w:rsidR="00993236">
          <w:rPr>
            <w:webHidden/>
          </w:rPr>
          <w:instrText xml:space="preserve"> PAGEREF _Toc433193199 \h </w:instrText>
        </w:r>
        <w:r w:rsidR="00993236">
          <w:rPr>
            <w:webHidden/>
          </w:rPr>
        </w:r>
        <w:r w:rsidR="00993236">
          <w:rPr>
            <w:webHidden/>
          </w:rPr>
          <w:fldChar w:fldCharType="separate"/>
        </w:r>
        <w:r w:rsidR="00C92FE8">
          <w:rPr>
            <w:webHidden/>
          </w:rPr>
          <w:t>70</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0" w:history="1">
        <w:r w:rsidR="00993236" w:rsidRPr="00AE0B62">
          <w:rPr>
            <w:rStyle w:val="Hyperlink"/>
            <w:lang w:val="en-GB"/>
          </w:rPr>
          <w:t>Statement of changes in equity</w:t>
        </w:r>
        <w:r w:rsidR="00993236">
          <w:rPr>
            <w:webHidden/>
          </w:rPr>
          <w:tab/>
        </w:r>
        <w:r w:rsidR="00993236">
          <w:rPr>
            <w:webHidden/>
          </w:rPr>
          <w:fldChar w:fldCharType="begin"/>
        </w:r>
        <w:r w:rsidR="00993236">
          <w:rPr>
            <w:webHidden/>
          </w:rPr>
          <w:instrText xml:space="preserve"> PAGEREF _Toc433193200 \h </w:instrText>
        </w:r>
        <w:r w:rsidR="00993236">
          <w:rPr>
            <w:webHidden/>
          </w:rPr>
        </w:r>
        <w:r w:rsidR="00993236">
          <w:rPr>
            <w:webHidden/>
          </w:rPr>
          <w:fldChar w:fldCharType="separate"/>
        </w:r>
        <w:r w:rsidR="00C92FE8">
          <w:rPr>
            <w:webHidden/>
          </w:rPr>
          <w:t>71</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1" w:history="1">
        <w:r w:rsidR="00993236" w:rsidRPr="00AE0B62">
          <w:rPr>
            <w:rStyle w:val="Hyperlink"/>
          </w:rPr>
          <w:t>Cash flow statement</w:t>
        </w:r>
        <w:r w:rsidR="00993236">
          <w:rPr>
            <w:webHidden/>
          </w:rPr>
          <w:tab/>
        </w:r>
        <w:r w:rsidR="00993236">
          <w:rPr>
            <w:webHidden/>
          </w:rPr>
          <w:fldChar w:fldCharType="begin"/>
        </w:r>
        <w:r w:rsidR="00993236">
          <w:rPr>
            <w:webHidden/>
          </w:rPr>
          <w:instrText xml:space="preserve"> PAGEREF _Toc433193201 \h </w:instrText>
        </w:r>
        <w:r w:rsidR="00993236">
          <w:rPr>
            <w:webHidden/>
          </w:rPr>
        </w:r>
        <w:r w:rsidR="00993236">
          <w:rPr>
            <w:webHidden/>
          </w:rPr>
          <w:fldChar w:fldCharType="separate"/>
        </w:r>
        <w:r w:rsidR="00C92FE8">
          <w:rPr>
            <w:webHidden/>
          </w:rPr>
          <w:t>72</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2" w:history="1">
        <w:r w:rsidR="00993236" w:rsidRPr="00AE0B62">
          <w:rPr>
            <w:rStyle w:val="Hyperlink"/>
          </w:rPr>
          <w:t>Schedule of commitments</w:t>
        </w:r>
        <w:r w:rsidR="00993236">
          <w:rPr>
            <w:webHidden/>
          </w:rPr>
          <w:tab/>
        </w:r>
        <w:r w:rsidR="00993236">
          <w:rPr>
            <w:webHidden/>
          </w:rPr>
          <w:fldChar w:fldCharType="begin"/>
        </w:r>
        <w:r w:rsidR="00993236">
          <w:rPr>
            <w:webHidden/>
          </w:rPr>
          <w:instrText xml:space="preserve"> PAGEREF _Toc433193202 \h </w:instrText>
        </w:r>
        <w:r w:rsidR="00993236">
          <w:rPr>
            <w:webHidden/>
          </w:rPr>
        </w:r>
        <w:r w:rsidR="00993236">
          <w:rPr>
            <w:webHidden/>
          </w:rPr>
          <w:fldChar w:fldCharType="separate"/>
        </w:r>
        <w:r w:rsidR="00C92FE8">
          <w:rPr>
            <w:webHidden/>
          </w:rPr>
          <w:t>74</w:t>
        </w:r>
        <w:r w:rsidR="00993236">
          <w:rPr>
            <w:webHidden/>
          </w:rPr>
          <w:fldChar w:fldCharType="end"/>
        </w:r>
      </w:hyperlink>
    </w:p>
    <w:p w:rsidR="00993236" w:rsidRPr="006273BC" w:rsidRDefault="00825F9D">
      <w:pPr>
        <w:pStyle w:val="TOC1"/>
        <w:rPr>
          <w:rFonts w:asciiTheme="minorHAnsi" w:eastAsiaTheme="minorEastAsia" w:hAnsiTheme="minorHAnsi" w:cstheme="minorBidi"/>
          <w:b/>
          <w:szCs w:val="22"/>
        </w:rPr>
      </w:pPr>
      <w:hyperlink w:anchor="_Toc433193203" w:history="1">
        <w:r w:rsidR="00993236" w:rsidRPr="006273BC">
          <w:rPr>
            <w:rStyle w:val="Hyperlink"/>
            <w:b/>
            <w:lang w:val="en-GB"/>
          </w:rPr>
          <w:t>Notes to and forming part of the financial statements</w:t>
        </w:r>
        <w:r w:rsidR="00993236" w:rsidRPr="006273BC">
          <w:rPr>
            <w:b/>
            <w:webHidden/>
          </w:rPr>
          <w:tab/>
        </w:r>
        <w:r w:rsidR="00993236" w:rsidRPr="006273BC">
          <w:rPr>
            <w:b/>
            <w:webHidden/>
          </w:rPr>
          <w:fldChar w:fldCharType="begin"/>
        </w:r>
        <w:r w:rsidR="00993236" w:rsidRPr="006273BC">
          <w:rPr>
            <w:b/>
            <w:webHidden/>
          </w:rPr>
          <w:instrText xml:space="preserve"> PAGEREF _Toc433193203 \h </w:instrText>
        </w:r>
        <w:r w:rsidR="00993236" w:rsidRPr="006273BC">
          <w:rPr>
            <w:b/>
            <w:webHidden/>
          </w:rPr>
        </w:r>
        <w:r w:rsidR="00993236" w:rsidRPr="006273BC">
          <w:rPr>
            <w:b/>
            <w:webHidden/>
          </w:rPr>
          <w:fldChar w:fldCharType="separate"/>
        </w:r>
        <w:r w:rsidR="00C92FE8">
          <w:rPr>
            <w:b/>
            <w:webHidden/>
          </w:rPr>
          <w:t>75</w:t>
        </w:r>
        <w:r w:rsidR="00993236" w:rsidRPr="006273BC">
          <w:rPr>
            <w:b/>
            <w:webHidden/>
          </w:rPr>
          <w:fldChar w:fldCharType="end"/>
        </w:r>
      </w:hyperlink>
    </w:p>
    <w:p w:rsidR="00993236" w:rsidRDefault="00825F9D">
      <w:pPr>
        <w:pStyle w:val="TOC2"/>
        <w:rPr>
          <w:rFonts w:asciiTheme="minorHAnsi" w:eastAsiaTheme="minorEastAsia" w:hAnsiTheme="minorHAnsi" w:cstheme="minorBidi"/>
          <w:szCs w:val="22"/>
        </w:rPr>
      </w:pPr>
      <w:hyperlink w:anchor="_Toc433193204" w:history="1">
        <w:r w:rsidR="00993236" w:rsidRPr="00AE0B62">
          <w:rPr>
            <w:rStyle w:val="Hyperlink"/>
          </w:rPr>
          <w:t xml:space="preserve">Note 1: </w:t>
        </w:r>
        <w:r w:rsidR="00993236" w:rsidRPr="006273BC">
          <w:rPr>
            <w:rStyle w:val="Hyperlink"/>
            <w:i/>
          </w:rPr>
          <w:t>Summary of significant accounting policies</w:t>
        </w:r>
        <w:r w:rsidR="00993236">
          <w:rPr>
            <w:webHidden/>
          </w:rPr>
          <w:tab/>
        </w:r>
        <w:r w:rsidR="00993236">
          <w:rPr>
            <w:webHidden/>
          </w:rPr>
          <w:fldChar w:fldCharType="begin"/>
        </w:r>
        <w:r w:rsidR="00993236">
          <w:rPr>
            <w:webHidden/>
          </w:rPr>
          <w:instrText xml:space="preserve"> PAGEREF _Toc433193204 \h </w:instrText>
        </w:r>
        <w:r w:rsidR="00993236">
          <w:rPr>
            <w:webHidden/>
          </w:rPr>
        </w:r>
        <w:r w:rsidR="00993236">
          <w:rPr>
            <w:webHidden/>
          </w:rPr>
          <w:fldChar w:fldCharType="separate"/>
        </w:r>
        <w:r w:rsidR="00C92FE8">
          <w:rPr>
            <w:webHidden/>
          </w:rPr>
          <w:t>75</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5" w:history="1">
        <w:r w:rsidR="00993236" w:rsidRPr="00AE0B62">
          <w:rPr>
            <w:rStyle w:val="Hyperlink"/>
          </w:rPr>
          <w:t xml:space="preserve">Note 2: </w:t>
        </w:r>
        <w:r w:rsidR="00993236" w:rsidRPr="006273BC">
          <w:rPr>
            <w:rStyle w:val="Hyperlink"/>
            <w:i/>
          </w:rPr>
          <w:t>Events after the reporting period</w:t>
        </w:r>
        <w:r w:rsidR="00993236">
          <w:rPr>
            <w:webHidden/>
          </w:rPr>
          <w:tab/>
        </w:r>
        <w:r w:rsidR="00993236">
          <w:rPr>
            <w:webHidden/>
          </w:rPr>
          <w:fldChar w:fldCharType="begin"/>
        </w:r>
        <w:r w:rsidR="00993236">
          <w:rPr>
            <w:webHidden/>
          </w:rPr>
          <w:instrText xml:space="preserve"> PAGEREF _Toc433193205 \h </w:instrText>
        </w:r>
        <w:r w:rsidR="00993236">
          <w:rPr>
            <w:webHidden/>
          </w:rPr>
        </w:r>
        <w:r w:rsidR="00993236">
          <w:rPr>
            <w:webHidden/>
          </w:rPr>
          <w:fldChar w:fldCharType="separate"/>
        </w:r>
        <w:r w:rsidR="00C92FE8">
          <w:rPr>
            <w:webHidden/>
          </w:rPr>
          <w:t>81</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6" w:history="1">
        <w:r w:rsidR="00993236" w:rsidRPr="00AE0B62">
          <w:rPr>
            <w:rStyle w:val="Hyperlink"/>
            <w:lang w:val="en-GB"/>
          </w:rPr>
          <w:t xml:space="preserve">Note 3: </w:t>
        </w:r>
        <w:r w:rsidR="00993236" w:rsidRPr="006273BC">
          <w:rPr>
            <w:rStyle w:val="Hyperlink"/>
            <w:i/>
            <w:lang w:val="en-GB"/>
          </w:rPr>
          <w:t>Expenses</w:t>
        </w:r>
        <w:r w:rsidR="00993236">
          <w:rPr>
            <w:webHidden/>
          </w:rPr>
          <w:tab/>
        </w:r>
        <w:r w:rsidR="00993236">
          <w:rPr>
            <w:webHidden/>
          </w:rPr>
          <w:fldChar w:fldCharType="begin"/>
        </w:r>
        <w:r w:rsidR="00993236">
          <w:rPr>
            <w:webHidden/>
          </w:rPr>
          <w:instrText xml:space="preserve"> PAGEREF _Toc433193206 \h </w:instrText>
        </w:r>
        <w:r w:rsidR="00993236">
          <w:rPr>
            <w:webHidden/>
          </w:rPr>
        </w:r>
        <w:r w:rsidR="00993236">
          <w:rPr>
            <w:webHidden/>
          </w:rPr>
          <w:fldChar w:fldCharType="separate"/>
        </w:r>
        <w:r w:rsidR="00C92FE8">
          <w:rPr>
            <w:webHidden/>
          </w:rPr>
          <w:t>82</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7" w:history="1">
        <w:r w:rsidR="00993236" w:rsidRPr="00AE0B62">
          <w:rPr>
            <w:rStyle w:val="Hyperlink"/>
            <w:lang w:val="en-GB"/>
          </w:rPr>
          <w:t xml:space="preserve">Note 4: </w:t>
        </w:r>
        <w:r w:rsidR="00993236" w:rsidRPr="006273BC">
          <w:rPr>
            <w:rStyle w:val="Hyperlink"/>
            <w:i/>
            <w:lang w:val="en-GB"/>
          </w:rPr>
          <w:t>Own-source income</w:t>
        </w:r>
        <w:r w:rsidR="00993236">
          <w:rPr>
            <w:webHidden/>
          </w:rPr>
          <w:tab/>
        </w:r>
        <w:r w:rsidR="00993236">
          <w:rPr>
            <w:webHidden/>
          </w:rPr>
          <w:fldChar w:fldCharType="begin"/>
        </w:r>
        <w:r w:rsidR="00993236">
          <w:rPr>
            <w:webHidden/>
          </w:rPr>
          <w:instrText xml:space="preserve"> PAGEREF _Toc433193207 \h </w:instrText>
        </w:r>
        <w:r w:rsidR="00993236">
          <w:rPr>
            <w:webHidden/>
          </w:rPr>
        </w:r>
        <w:r w:rsidR="00993236">
          <w:rPr>
            <w:webHidden/>
          </w:rPr>
          <w:fldChar w:fldCharType="separate"/>
        </w:r>
        <w:r w:rsidR="00C92FE8">
          <w:rPr>
            <w:webHidden/>
          </w:rPr>
          <w:t>84</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8" w:history="1">
        <w:r w:rsidR="00993236" w:rsidRPr="00AE0B62">
          <w:rPr>
            <w:rStyle w:val="Hyperlink"/>
            <w:lang w:val="en-GB"/>
          </w:rPr>
          <w:t xml:space="preserve">Note 5: </w:t>
        </w:r>
        <w:r w:rsidR="00993236" w:rsidRPr="006273BC">
          <w:rPr>
            <w:rStyle w:val="Hyperlink"/>
            <w:i/>
            <w:lang w:val="en-GB"/>
          </w:rPr>
          <w:t>Financial assets</w:t>
        </w:r>
        <w:r w:rsidR="00993236">
          <w:rPr>
            <w:webHidden/>
          </w:rPr>
          <w:tab/>
        </w:r>
        <w:r w:rsidR="00993236">
          <w:rPr>
            <w:webHidden/>
          </w:rPr>
          <w:fldChar w:fldCharType="begin"/>
        </w:r>
        <w:r w:rsidR="00993236">
          <w:rPr>
            <w:webHidden/>
          </w:rPr>
          <w:instrText xml:space="preserve"> PAGEREF _Toc433193208 \h </w:instrText>
        </w:r>
        <w:r w:rsidR="00993236">
          <w:rPr>
            <w:webHidden/>
          </w:rPr>
        </w:r>
        <w:r w:rsidR="00993236">
          <w:rPr>
            <w:webHidden/>
          </w:rPr>
          <w:fldChar w:fldCharType="separate"/>
        </w:r>
        <w:r w:rsidR="00C92FE8">
          <w:rPr>
            <w:webHidden/>
          </w:rPr>
          <w:t>85</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09" w:history="1">
        <w:r w:rsidR="00993236" w:rsidRPr="00AE0B62">
          <w:rPr>
            <w:rStyle w:val="Hyperlink"/>
            <w:lang w:val="en-GB"/>
          </w:rPr>
          <w:t xml:space="preserve">Note 6: </w:t>
        </w:r>
        <w:r w:rsidR="00993236" w:rsidRPr="006273BC">
          <w:rPr>
            <w:rStyle w:val="Hyperlink"/>
            <w:i/>
            <w:lang w:val="en-GB"/>
          </w:rPr>
          <w:t>Non-financial assets</w:t>
        </w:r>
        <w:r w:rsidR="00993236">
          <w:rPr>
            <w:webHidden/>
          </w:rPr>
          <w:tab/>
        </w:r>
        <w:r w:rsidR="00993236">
          <w:rPr>
            <w:webHidden/>
          </w:rPr>
          <w:fldChar w:fldCharType="begin"/>
        </w:r>
        <w:r w:rsidR="00993236">
          <w:rPr>
            <w:webHidden/>
          </w:rPr>
          <w:instrText xml:space="preserve"> PAGEREF _Toc433193209 \h </w:instrText>
        </w:r>
        <w:r w:rsidR="00993236">
          <w:rPr>
            <w:webHidden/>
          </w:rPr>
        </w:r>
        <w:r w:rsidR="00993236">
          <w:rPr>
            <w:webHidden/>
          </w:rPr>
          <w:fldChar w:fldCharType="separate"/>
        </w:r>
        <w:r w:rsidR="00C92FE8">
          <w:rPr>
            <w:webHidden/>
          </w:rPr>
          <w:t>86</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0" w:history="1">
        <w:r w:rsidR="00993236" w:rsidRPr="00AE0B62">
          <w:rPr>
            <w:rStyle w:val="Hyperlink"/>
          </w:rPr>
          <w:t xml:space="preserve">Note 7: </w:t>
        </w:r>
        <w:r w:rsidR="00993236" w:rsidRPr="006273BC">
          <w:rPr>
            <w:rStyle w:val="Hyperlink"/>
            <w:i/>
          </w:rPr>
          <w:t>Fair value measurements</w:t>
        </w:r>
        <w:r w:rsidR="00993236">
          <w:rPr>
            <w:webHidden/>
          </w:rPr>
          <w:tab/>
        </w:r>
        <w:r w:rsidR="00993236">
          <w:rPr>
            <w:webHidden/>
          </w:rPr>
          <w:fldChar w:fldCharType="begin"/>
        </w:r>
        <w:r w:rsidR="00993236">
          <w:rPr>
            <w:webHidden/>
          </w:rPr>
          <w:instrText xml:space="preserve"> PAGEREF _Toc433193210 \h </w:instrText>
        </w:r>
        <w:r w:rsidR="00993236">
          <w:rPr>
            <w:webHidden/>
          </w:rPr>
        </w:r>
        <w:r w:rsidR="00993236">
          <w:rPr>
            <w:webHidden/>
          </w:rPr>
          <w:fldChar w:fldCharType="separate"/>
        </w:r>
        <w:r w:rsidR="00C92FE8">
          <w:rPr>
            <w:webHidden/>
          </w:rPr>
          <w:t>89</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1" w:history="1">
        <w:r w:rsidR="00993236" w:rsidRPr="00AE0B62">
          <w:rPr>
            <w:rStyle w:val="Hyperlink"/>
          </w:rPr>
          <w:t xml:space="preserve">Note 8: </w:t>
        </w:r>
        <w:r w:rsidR="00993236" w:rsidRPr="006273BC">
          <w:rPr>
            <w:rStyle w:val="Hyperlink"/>
            <w:i/>
          </w:rPr>
          <w:t>Payables</w:t>
        </w:r>
        <w:r w:rsidR="00993236">
          <w:rPr>
            <w:webHidden/>
          </w:rPr>
          <w:tab/>
        </w:r>
        <w:r w:rsidR="00993236">
          <w:rPr>
            <w:webHidden/>
          </w:rPr>
          <w:fldChar w:fldCharType="begin"/>
        </w:r>
        <w:r w:rsidR="00993236">
          <w:rPr>
            <w:webHidden/>
          </w:rPr>
          <w:instrText xml:space="preserve"> PAGEREF _Toc433193211 \h </w:instrText>
        </w:r>
        <w:r w:rsidR="00993236">
          <w:rPr>
            <w:webHidden/>
          </w:rPr>
        </w:r>
        <w:r w:rsidR="00993236">
          <w:rPr>
            <w:webHidden/>
          </w:rPr>
          <w:fldChar w:fldCharType="separate"/>
        </w:r>
        <w:r w:rsidR="00C92FE8">
          <w:rPr>
            <w:webHidden/>
          </w:rPr>
          <w:t>90</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2" w:history="1">
        <w:r w:rsidR="00993236" w:rsidRPr="00AE0B62">
          <w:rPr>
            <w:rStyle w:val="Hyperlink"/>
          </w:rPr>
          <w:t xml:space="preserve">Note 9: </w:t>
        </w:r>
        <w:r w:rsidR="00993236" w:rsidRPr="006273BC">
          <w:rPr>
            <w:rStyle w:val="Hyperlink"/>
            <w:i/>
          </w:rPr>
          <w:t>Provisions</w:t>
        </w:r>
        <w:r w:rsidR="00993236">
          <w:rPr>
            <w:webHidden/>
          </w:rPr>
          <w:tab/>
        </w:r>
        <w:r w:rsidR="00993236">
          <w:rPr>
            <w:webHidden/>
          </w:rPr>
          <w:fldChar w:fldCharType="begin"/>
        </w:r>
        <w:r w:rsidR="00993236">
          <w:rPr>
            <w:webHidden/>
          </w:rPr>
          <w:instrText xml:space="preserve"> PAGEREF _Toc433193212 \h </w:instrText>
        </w:r>
        <w:r w:rsidR="00993236">
          <w:rPr>
            <w:webHidden/>
          </w:rPr>
        </w:r>
        <w:r w:rsidR="00993236">
          <w:rPr>
            <w:webHidden/>
          </w:rPr>
          <w:fldChar w:fldCharType="separate"/>
        </w:r>
        <w:r w:rsidR="00C92FE8">
          <w:rPr>
            <w:webHidden/>
          </w:rPr>
          <w:t>91</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3" w:history="1">
        <w:r w:rsidR="00993236" w:rsidRPr="00AE0B62">
          <w:rPr>
            <w:rStyle w:val="Hyperlink"/>
          </w:rPr>
          <w:t xml:space="preserve">Note 10: </w:t>
        </w:r>
        <w:r w:rsidR="00993236" w:rsidRPr="006273BC">
          <w:rPr>
            <w:rStyle w:val="Hyperlink"/>
            <w:i/>
          </w:rPr>
          <w:t>Cash flow reconciliation</w:t>
        </w:r>
        <w:r w:rsidR="00993236">
          <w:rPr>
            <w:webHidden/>
          </w:rPr>
          <w:tab/>
        </w:r>
        <w:r w:rsidR="00993236">
          <w:rPr>
            <w:webHidden/>
          </w:rPr>
          <w:fldChar w:fldCharType="begin"/>
        </w:r>
        <w:r w:rsidR="00993236">
          <w:rPr>
            <w:webHidden/>
          </w:rPr>
          <w:instrText xml:space="preserve"> PAGEREF _Toc433193213 \h </w:instrText>
        </w:r>
        <w:r w:rsidR="00993236">
          <w:rPr>
            <w:webHidden/>
          </w:rPr>
        </w:r>
        <w:r w:rsidR="00993236">
          <w:rPr>
            <w:webHidden/>
          </w:rPr>
          <w:fldChar w:fldCharType="separate"/>
        </w:r>
        <w:r w:rsidR="00C92FE8">
          <w:rPr>
            <w:webHidden/>
          </w:rPr>
          <w:t>92</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4" w:history="1">
        <w:r w:rsidR="00993236" w:rsidRPr="00AE0B62">
          <w:rPr>
            <w:rStyle w:val="Hyperlink"/>
          </w:rPr>
          <w:t xml:space="preserve">Note 11: </w:t>
        </w:r>
        <w:r w:rsidR="00993236" w:rsidRPr="006273BC">
          <w:rPr>
            <w:rStyle w:val="Hyperlink"/>
            <w:i/>
          </w:rPr>
          <w:t>Contingent assets and liabilities</w:t>
        </w:r>
        <w:r w:rsidR="00993236">
          <w:rPr>
            <w:webHidden/>
          </w:rPr>
          <w:tab/>
        </w:r>
        <w:r w:rsidR="00993236">
          <w:rPr>
            <w:webHidden/>
          </w:rPr>
          <w:fldChar w:fldCharType="begin"/>
        </w:r>
        <w:r w:rsidR="00993236">
          <w:rPr>
            <w:webHidden/>
          </w:rPr>
          <w:instrText xml:space="preserve"> PAGEREF _Toc433193214 \h </w:instrText>
        </w:r>
        <w:r w:rsidR="00993236">
          <w:rPr>
            <w:webHidden/>
          </w:rPr>
        </w:r>
        <w:r w:rsidR="00993236">
          <w:rPr>
            <w:webHidden/>
          </w:rPr>
          <w:fldChar w:fldCharType="separate"/>
        </w:r>
        <w:r w:rsidR="00C92FE8">
          <w:rPr>
            <w:webHidden/>
          </w:rPr>
          <w:t>92</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5" w:history="1">
        <w:r w:rsidR="00993236" w:rsidRPr="00AE0B62">
          <w:rPr>
            <w:rStyle w:val="Hyperlink"/>
          </w:rPr>
          <w:t xml:space="preserve">Note 12: </w:t>
        </w:r>
        <w:r w:rsidR="00993236" w:rsidRPr="006273BC">
          <w:rPr>
            <w:rStyle w:val="Hyperlink"/>
            <w:i/>
          </w:rPr>
          <w:t>Senior management personnel remuneration</w:t>
        </w:r>
        <w:r w:rsidR="00993236">
          <w:rPr>
            <w:webHidden/>
          </w:rPr>
          <w:tab/>
        </w:r>
        <w:r w:rsidR="00993236">
          <w:rPr>
            <w:webHidden/>
          </w:rPr>
          <w:fldChar w:fldCharType="begin"/>
        </w:r>
        <w:r w:rsidR="00993236">
          <w:rPr>
            <w:webHidden/>
          </w:rPr>
          <w:instrText xml:space="preserve"> PAGEREF _Toc433193215 \h </w:instrText>
        </w:r>
        <w:r w:rsidR="00993236">
          <w:rPr>
            <w:webHidden/>
          </w:rPr>
        </w:r>
        <w:r w:rsidR="00993236">
          <w:rPr>
            <w:webHidden/>
          </w:rPr>
          <w:fldChar w:fldCharType="separate"/>
        </w:r>
        <w:r w:rsidR="00C92FE8">
          <w:rPr>
            <w:webHidden/>
          </w:rPr>
          <w:t>93</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6" w:history="1">
        <w:r w:rsidR="00993236" w:rsidRPr="00AE0B62">
          <w:rPr>
            <w:rStyle w:val="Hyperlink"/>
          </w:rPr>
          <w:t xml:space="preserve">Note 13: </w:t>
        </w:r>
        <w:r w:rsidR="00993236" w:rsidRPr="006273BC">
          <w:rPr>
            <w:rStyle w:val="Hyperlink"/>
            <w:i/>
          </w:rPr>
          <w:t>Financial instruments</w:t>
        </w:r>
        <w:r w:rsidR="00993236">
          <w:rPr>
            <w:webHidden/>
          </w:rPr>
          <w:tab/>
        </w:r>
        <w:r w:rsidR="00993236">
          <w:rPr>
            <w:webHidden/>
          </w:rPr>
          <w:fldChar w:fldCharType="begin"/>
        </w:r>
        <w:r w:rsidR="00993236">
          <w:rPr>
            <w:webHidden/>
          </w:rPr>
          <w:instrText xml:space="preserve"> PAGEREF _Toc433193216 \h </w:instrText>
        </w:r>
        <w:r w:rsidR="00993236">
          <w:rPr>
            <w:webHidden/>
          </w:rPr>
        </w:r>
        <w:r w:rsidR="00993236">
          <w:rPr>
            <w:webHidden/>
          </w:rPr>
          <w:fldChar w:fldCharType="separate"/>
        </w:r>
        <w:r w:rsidR="00C92FE8">
          <w:rPr>
            <w:webHidden/>
          </w:rPr>
          <w:t>93</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7" w:history="1">
        <w:r w:rsidR="00993236" w:rsidRPr="00AE0B62">
          <w:rPr>
            <w:rStyle w:val="Hyperlink"/>
          </w:rPr>
          <w:t xml:space="preserve">Note 14: </w:t>
        </w:r>
        <w:r w:rsidR="00993236" w:rsidRPr="006273BC">
          <w:rPr>
            <w:rStyle w:val="Hyperlink"/>
            <w:i/>
          </w:rPr>
          <w:t>Financial assets reconciliation</w:t>
        </w:r>
        <w:r w:rsidR="00993236">
          <w:rPr>
            <w:webHidden/>
          </w:rPr>
          <w:tab/>
        </w:r>
        <w:r w:rsidR="00993236">
          <w:rPr>
            <w:webHidden/>
          </w:rPr>
          <w:fldChar w:fldCharType="begin"/>
        </w:r>
        <w:r w:rsidR="00993236">
          <w:rPr>
            <w:webHidden/>
          </w:rPr>
          <w:instrText xml:space="preserve"> PAGEREF _Toc433193217 \h </w:instrText>
        </w:r>
        <w:r w:rsidR="00993236">
          <w:rPr>
            <w:webHidden/>
          </w:rPr>
        </w:r>
        <w:r w:rsidR="00993236">
          <w:rPr>
            <w:webHidden/>
          </w:rPr>
          <w:fldChar w:fldCharType="separate"/>
        </w:r>
        <w:r w:rsidR="00C92FE8">
          <w:rPr>
            <w:webHidden/>
          </w:rPr>
          <w:t>94</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8" w:history="1">
        <w:r w:rsidR="00993236" w:rsidRPr="00AE0B62">
          <w:rPr>
            <w:rStyle w:val="Hyperlink"/>
          </w:rPr>
          <w:t xml:space="preserve">Note 15: </w:t>
        </w:r>
        <w:r w:rsidR="00993236" w:rsidRPr="006273BC">
          <w:rPr>
            <w:rStyle w:val="Hyperlink"/>
            <w:i/>
          </w:rPr>
          <w:t>Appropriations</w:t>
        </w:r>
        <w:r w:rsidR="00993236">
          <w:rPr>
            <w:webHidden/>
          </w:rPr>
          <w:tab/>
        </w:r>
        <w:r w:rsidR="00993236">
          <w:rPr>
            <w:webHidden/>
          </w:rPr>
          <w:fldChar w:fldCharType="begin"/>
        </w:r>
        <w:r w:rsidR="00993236">
          <w:rPr>
            <w:webHidden/>
          </w:rPr>
          <w:instrText xml:space="preserve"> PAGEREF _Toc433193218 \h </w:instrText>
        </w:r>
        <w:r w:rsidR="00993236">
          <w:rPr>
            <w:webHidden/>
          </w:rPr>
        </w:r>
        <w:r w:rsidR="00993236">
          <w:rPr>
            <w:webHidden/>
          </w:rPr>
          <w:fldChar w:fldCharType="separate"/>
        </w:r>
        <w:r w:rsidR="00C92FE8">
          <w:rPr>
            <w:webHidden/>
          </w:rPr>
          <w:t>95</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19" w:history="1">
        <w:r w:rsidR="00993236" w:rsidRPr="00AE0B62">
          <w:rPr>
            <w:rStyle w:val="Hyperlink"/>
          </w:rPr>
          <w:t xml:space="preserve">Note 16: </w:t>
        </w:r>
        <w:r w:rsidR="00993236" w:rsidRPr="006273BC">
          <w:rPr>
            <w:rStyle w:val="Hyperlink"/>
            <w:i/>
          </w:rPr>
          <w:t>Compliance with statutory conditions for payments from the consolidated revenue fund</w:t>
        </w:r>
        <w:r w:rsidR="00993236">
          <w:rPr>
            <w:webHidden/>
          </w:rPr>
          <w:tab/>
        </w:r>
        <w:r w:rsidR="00993236">
          <w:rPr>
            <w:webHidden/>
          </w:rPr>
          <w:fldChar w:fldCharType="begin"/>
        </w:r>
        <w:r w:rsidR="00993236">
          <w:rPr>
            <w:webHidden/>
          </w:rPr>
          <w:instrText xml:space="preserve"> PAGEREF _Toc433193219 \h </w:instrText>
        </w:r>
        <w:r w:rsidR="00993236">
          <w:rPr>
            <w:webHidden/>
          </w:rPr>
        </w:r>
        <w:r w:rsidR="00993236">
          <w:rPr>
            <w:webHidden/>
          </w:rPr>
          <w:fldChar w:fldCharType="separate"/>
        </w:r>
        <w:r w:rsidR="00C92FE8">
          <w:rPr>
            <w:webHidden/>
          </w:rPr>
          <w:t>97</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0" w:history="1">
        <w:r w:rsidR="00993236" w:rsidRPr="00AE0B62">
          <w:rPr>
            <w:rStyle w:val="Hyperlink"/>
          </w:rPr>
          <w:t xml:space="preserve">Note 17: </w:t>
        </w:r>
        <w:r w:rsidR="00993236" w:rsidRPr="006273BC">
          <w:rPr>
            <w:rStyle w:val="Hyperlink"/>
            <w:i/>
          </w:rPr>
          <w:t>Reporting of outcomes</w:t>
        </w:r>
        <w:r w:rsidR="00993236">
          <w:rPr>
            <w:webHidden/>
          </w:rPr>
          <w:tab/>
        </w:r>
        <w:r w:rsidR="00993236">
          <w:rPr>
            <w:webHidden/>
          </w:rPr>
          <w:fldChar w:fldCharType="begin"/>
        </w:r>
        <w:r w:rsidR="00993236">
          <w:rPr>
            <w:webHidden/>
          </w:rPr>
          <w:instrText xml:space="preserve"> PAGEREF _Toc433193220 \h </w:instrText>
        </w:r>
        <w:r w:rsidR="00993236">
          <w:rPr>
            <w:webHidden/>
          </w:rPr>
        </w:r>
        <w:r w:rsidR="00993236">
          <w:rPr>
            <w:webHidden/>
          </w:rPr>
          <w:fldChar w:fldCharType="separate"/>
        </w:r>
        <w:r w:rsidR="00C92FE8">
          <w:rPr>
            <w:webHidden/>
          </w:rPr>
          <w:t>98</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1" w:history="1">
        <w:r w:rsidR="00993236" w:rsidRPr="00AE0B62">
          <w:rPr>
            <w:rStyle w:val="Hyperlink"/>
          </w:rPr>
          <w:t xml:space="preserve">Note 18: </w:t>
        </w:r>
        <w:r w:rsidR="00993236" w:rsidRPr="006273BC">
          <w:rPr>
            <w:rStyle w:val="Hyperlink"/>
            <w:i/>
          </w:rPr>
          <w:t>Budgetary Reports and Explanations of Major Variances</w:t>
        </w:r>
        <w:r w:rsidR="00993236">
          <w:rPr>
            <w:webHidden/>
          </w:rPr>
          <w:tab/>
        </w:r>
        <w:r w:rsidR="00993236">
          <w:rPr>
            <w:webHidden/>
          </w:rPr>
          <w:fldChar w:fldCharType="begin"/>
        </w:r>
        <w:r w:rsidR="00993236">
          <w:rPr>
            <w:webHidden/>
          </w:rPr>
          <w:instrText xml:space="preserve"> PAGEREF _Toc433193221 \h </w:instrText>
        </w:r>
        <w:r w:rsidR="00993236">
          <w:rPr>
            <w:webHidden/>
          </w:rPr>
        </w:r>
        <w:r w:rsidR="00993236">
          <w:rPr>
            <w:webHidden/>
          </w:rPr>
          <w:fldChar w:fldCharType="separate"/>
        </w:r>
        <w:r w:rsidR="00C92FE8">
          <w:rPr>
            <w:webHidden/>
          </w:rPr>
          <w:t>98</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2" w:history="1">
        <w:r w:rsidR="00993236" w:rsidRPr="00AE0B62">
          <w:rPr>
            <w:rStyle w:val="Hyperlink"/>
          </w:rPr>
          <w:t>Statement of comprehensive income</w:t>
        </w:r>
        <w:r w:rsidR="00993236">
          <w:rPr>
            <w:webHidden/>
          </w:rPr>
          <w:tab/>
        </w:r>
        <w:r w:rsidR="00993236">
          <w:rPr>
            <w:webHidden/>
          </w:rPr>
          <w:fldChar w:fldCharType="begin"/>
        </w:r>
        <w:r w:rsidR="00993236">
          <w:rPr>
            <w:webHidden/>
          </w:rPr>
          <w:instrText xml:space="preserve"> PAGEREF _Toc433193222 \h </w:instrText>
        </w:r>
        <w:r w:rsidR="00993236">
          <w:rPr>
            <w:webHidden/>
          </w:rPr>
        </w:r>
        <w:r w:rsidR="00993236">
          <w:rPr>
            <w:webHidden/>
          </w:rPr>
          <w:fldChar w:fldCharType="separate"/>
        </w:r>
        <w:r w:rsidR="00C92FE8">
          <w:rPr>
            <w:webHidden/>
          </w:rPr>
          <w:t>99</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3" w:history="1">
        <w:r w:rsidR="00993236" w:rsidRPr="00AE0B62">
          <w:rPr>
            <w:rStyle w:val="Hyperlink"/>
          </w:rPr>
          <w:t>Statement of financial position</w:t>
        </w:r>
        <w:r w:rsidR="00993236">
          <w:rPr>
            <w:webHidden/>
          </w:rPr>
          <w:tab/>
        </w:r>
        <w:r w:rsidR="00993236">
          <w:rPr>
            <w:webHidden/>
          </w:rPr>
          <w:fldChar w:fldCharType="begin"/>
        </w:r>
        <w:r w:rsidR="00993236">
          <w:rPr>
            <w:webHidden/>
          </w:rPr>
          <w:instrText xml:space="preserve"> PAGEREF _Toc433193223 \h </w:instrText>
        </w:r>
        <w:r w:rsidR="00993236">
          <w:rPr>
            <w:webHidden/>
          </w:rPr>
        </w:r>
        <w:r w:rsidR="00993236">
          <w:rPr>
            <w:webHidden/>
          </w:rPr>
          <w:fldChar w:fldCharType="separate"/>
        </w:r>
        <w:r w:rsidR="00C92FE8">
          <w:rPr>
            <w:webHidden/>
          </w:rPr>
          <w:t>100</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4" w:history="1">
        <w:r w:rsidR="00993236" w:rsidRPr="00AE0B62">
          <w:rPr>
            <w:rStyle w:val="Hyperlink"/>
          </w:rPr>
          <w:t>Cash flow statement</w:t>
        </w:r>
        <w:r w:rsidR="00993236">
          <w:rPr>
            <w:webHidden/>
          </w:rPr>
          <w:tab/>
        </w:r>
        <w:r w:rsidR="00993236">
          <w:rPr>
            <w:webHidden/>
          </w:rPr>
          <w:fldChar w:fldCharType="begin"/>
        </w:r>
        <w:r w:rsidR="00993236">
          <w:rPr>
            <w:webHidden/>
          </w:rPr>
          <w:instrText xml:space="preserve"> PAGEREF _Toc433193224 \h </w:instrText>
        </w:r>
        <w:r w:rsidR="00993236">
          <w:rPr>
            <w:webHidden/>
          </w:rPr>
        </w:r>
        <w:r w:rsidR="00993236">
          <w:rPr>
            <w:webHidden/>
          </w:rPr>
          <w:fldChar w:fldCharType="separate"/>
        </w:r>
        <w:r w:rsidR="00C92FE8">
          <w:rPr>
            <w:webHidden/>
          </w:rPr>
          <w:t>101</w:t>
        </w:r>
        <w:r w:rsidR="00993236">
          <w:rPr>
            <w:webHidden/>
          </w:rPr>
          <w:fldChar w:fldCharType="end"/>
        </w:r>
      </w:hyperlink>
    </w:p>
    <w:p w:rsidR="00993236" w:rsidRDefault="00825F9D">
      <w:pPr>
        <w:pStyle w:val="TOC2"/>
        <w:rPr>
          <w:rFonts w:asciiTheme="minorHAnsi" w:eastAsiaTheme="minorEastAsia" w:hAnsiTheme="minorHAnsi" w:cstheme="minorBidi"/>
          <w:szCs w:val="22"/>
        </w:rPr>
      </w:pPr>
      <w:hyperlink w:anchor="_Toc433193225" w:history="1">
        <w:r w:rsidR="00993236" w:rsidRPr="00AE0B62">
          <w:rPr>
            <w:rStyle w:val="Hyperlink"/>
          </w:rPr>
          <w:t>Statement of changes in equity</w:t>
        </w:r>
        <w:r w:rsidR="00993236">
          <w:rPr>
            <w:webHidden/>
          </w:rPr>
          <w:tab/>
        </w:r>
        <w:r w:rsidR="00993236">
          <w:rPr>
            <w:webHidden/>
          </w:rPr>
          <w:fldChar w:fldCharType="begin"/>
        </w:r>
        <w:r w:rsidR="00993236">
          <w:rPr>
            <w:webHidden/>
          </w:rPr>
          <w:instrText xml:space="preserve"> PAGEREF _Toc433193225 \h </w:instrText>
        </w:r>
        <w:r w:rsidR="00993236">
          <w:rPr>
            <w:webHidden/>
          </w:rPr>
        </w:r>
        <w:r w:rsidR="00993236">
          <w:rPr>
            <w:webHidden/>
          </w:rPr>
          <w:fldChar w:fldCharType="separate"/>
        </w:r>
        <w:r w:rsidR="00C92FE8">
          <w:rPr>
            <w:webHidden/>
          </w:rPr>
          <w:t>103</w:t>
        </w:r>
        <w:r w:rsidR="00993236">
          <w:rPr>
            <w:webHidden/>
          </w:rPr>
          <w:fldChar w:fldCharType="end"/>
        </w:r>
      </w:hyperlink>
    </w:p>
    <w:p w:rsidR="001B60D4" w:rsidRDefault="00A46DF5" w:rsidP="00522C03">
      <w:pPr>
        <w:pStyle w:val="TOC2"/>
      </w:pPr>
      <w:r>
        <w:fldChar w:fldCharType="end"/>
      </w:r>
      <w:r>
        <w:fldChar w:fldCharType="begin"/>
      </w:r>
      <w:r>
        <w:instrText xml:space="preserve"> TOC \h \z \u \t "Title,1,Financials H1,1,Financials H2,2" </w:instrText>
      </w:r>
      <w:r>
        <w:fldChar w:fldCharType="end"/>
      </w:r>
    </w:p>
    <w:p w:rsidR="00010D84" w:rsidRDefault="00010D84" w:rsidP="001B60D4"/>
    <w:p w:rsidR="00010D84" w:rsidRDefault="00010D84" w:rsidP="001B60D4">
      <w:pPr>
        <w:sectPr w:rsidR="00010D84" w:rsidSect="00A00884">
          <w:headerReference w:type="default" r:id="rId35"/>
          <w:footerReference w:type="default" r:id="rId36"/>
          <w:pgSz w:w="11906" w:h="16838" w:code="9"/>
          <w:pgMar w:top="2041" w:right="3232" w:bottom="851" w:left="1021" w:header="567" w:footer="510" w:gutter="0"/>
          <w:pgNumType w:start="1"/>
          <w:cols w:space="708"/>
          <w:docGrid w:linePitch="360"/>
        </w:sectPr>
      </w:pPr>
    </w:p>
    <w:p w:rsidR="00CD3E69" w:rsidRPr="00CD3E69" w:rsidRDefault="00CD3E69" w:rsidP="00CD3E69">
      <w:pPr>
        <w:pStyle w:val="FinancialsH1"/>
      </w:pPr>
      <w:bookmarkStart w:id="10" w:name="_Toc432499186"/>
      <w:bookmarkStart w:id="11" w:name="_Toc432499209"/>
      <w:bookmarkStart w:id="12" w:name="_Toc433193194"/>
      <w:r w:rsidRPr="00CD3E69">
        <w:lastRenderedPageBreak/>
        <w:t>Financial Performance</w:t>
      </w:r>
      <w:bookmarkEnd w:id="10"/>
      <w:bookmarkEnd w:id="11"/>
      <w:bookmarkEnd w:id="12"/>
    </w:p>
    <w:p w:rsidR="00CD3E69" w:rsidRDefault="00CD3E69" w:rsidP="00660951">
      <w:pPr>
        <w:pStyle w:val="Intro"/>
        <w:ind w:right="1926"/>
      </w:pPr>
      <w:r>
        <w:t>The Independent Hospital Pricing Authority (IHPA) became a Corporate Commonwealth Entity on 1 July 2014 with the CEO as the accountable authority. Financial records have been maintained in accordance with this status and defined in these statements as Departmental. Information is provided on assets, liabilities, income and expenses controlled by IHPA.</w:t>
      </w:r>
    </w:p>
    <w:p w:rsidR="00CD3E69" w:rsidRDefault="00CD3E69" w:rsidP="00660951">
      <w:pPr>
        <w:ind w:right="1926"/>
      </w:pPr>
      <w:r>
        <w:t>IHPA received an unqualified audit report from the Australian National Audit Office on its 2014–15 Financial Statements.</w:t>
      </w:r>
    </w:p>
    <w:p w:rsidR="00CD3E69" w:rsidRPr="00010D84" w:rsidRDefault="00010D84" w:rsidP="00660951">
      <w:pPr>
        <w:spacing w:before="240"/>
        <w:ind w:right="1926"/>
        <w:rPr>
          <w:b/>
          <w:sz w:val="24"/>
        </w:rPr>
      </w:pPr>
      <w:r w:rsidRPr="00010D84">
        <w:rPr>
          <w:b/>
          <w:sz w:val="24"/>
        </w:rPr>
        <w:t>IHPA FINANCIAL OVERVIEW</w:t>
      </w:r>
    </w:p>
    <w:p w:rsidR="00CD3E69" w:rsidRDefault="00CD3E69" w:rsidP="00660951">
      <w:pPr>
        <w:ind w:right="1926"/>
      </w:pPr>
      <w:r>
        <w:t>The Statement of Comprehensive Income for the Departmental Item shows a surplus of $3.746 million (2013–14: $3.606 million). The key drivers of this surplus were savings in employment costs arising from the implementation of the Australian Government’s recruitment restrictions and overachievements in sales of the Australian Refined Diagnosis Related Groups (AR-DRG) classification system. Expense actuals were in line with budget.</w:t>
      </w:r>
    </w:p>
    <w:p w:rsidR="00CD3E69" w:rsidRDefault="00CD3E69" w:rsidP="00660951">
      <w:pPr>
        <w:ind w:right="1926"/>
      </w:pPr>
      <w:r>
        <w:t>Material balances in the Departmental Statement of Comprehensive Income include:</w:t>
      </w:r>
    </w:p>
    <w:p w:rsidR="00010D84" w:rsidRDefault="00CD3E69" w:rsidP="00660951">
      <w:pPr>
        <w:pStyle w:val="ListParagraph"/>
        <w:numPr>
          <w:ilvl w:val="1"/>
          <w:numId w:val="36"/>
        </w:numPr>
        <w:ind w:left="426" w:right="1926" w:hanging="426"/>
      </w:pPr>
      <w:r>
        <w:t>Revenue from the Australian Government was $25.726 million. Equivalent funding in 2013–14 was $25.699 million, this was sourced from departmental appropriations of $13.609 million and administered appropriations of $12.090 million.</w:t>
      </w:r>
    </w:p>
    <w:p w:rsidR="00010D84" w:rsidRDefault="00CD3E69" w:rsidP="00660951">
      <w:pPr>
        <w:pStyle w:val="ListParagraph"/>
        <w:numPr>
          <w:ilvl w:val="1"/>
          <w:numId w:val="36"/>
        </w:numPr>
        <w:ind w:left="426" w:right="1926" w:hanging="426"/>
      </w:pPr>
      <w:r>
        <w:t>Sales of goods and services at $2.364 million were above the 2013–14 figure of $0.448 million. These revenues arose from the AR-DRG classification system sales and licensing and recognition of revenue related to the Activity Based Funding Conference which was held in Adelaide in June 2015.</w:t>
      </w:r>
    </w:p>
    <w:p w:rsidR="00010D84" w:rsidRDefault="00CD3E69" w:rsidP="00660951">
      <w:pPr>
        <w:pStyle w:val="ListParagraph"/>
        <w:numPr>
          <w:ilvl w:val="1"/>
          <w:numId w:val="36"/>
        </w:numPr>
        <w:ind w:left="426" w:right="1926" w:hanging="426"/>
      </w:pPr>
      <w:r>
        <w:t>Employee benefits at $7.242 million were above the 2013–14 figure of $7.090 million but reflected an ongoing underachievement of budgeted headcount due to Australian Government recruitment restrictions.</w:t>
      </w:r>
    </w:p>
    <w:p w:rsidR="00CD3E69" w:rsidRDefault="00CD3E69" w:rsidP="00660951">
      <w:pPr>
        <w:pStyle w:val="ListParagraph"/>
        <w:numPr>
          <w:ilvl w:val="1"/>
          <w:numId w:val="36"/>
        </w:numPr>
        <w:ind w:left="426" w:right="1926" w:hanging="426"/>
      </w:pPr>
      <w:r>
        <w:t xml:space="preserve">Supplier expenses at $16.423 million were in line with resource plans. The 30 per cent increase over 2013–14 ($12.640 million) reflected the previous year’s budget underachievement and the increase in IHPA’s Work Program. </w:t>
      </w:r>
    </w:p>
    <w:p w:rsidR="00CD3E69" w:rsidRDefault="00CD3E69" w:rsidP="00660951">
      <w:pPr>
        <w:ind w:right="1926"/>
      </w:pPr>
      <w:r>
        <w:t>During the year, National Health Reform Agreement expenditure was directed towards data assurance and classification development activities including the development of subacute, emergency department and mental health care classification systems. It also included the management of costing studies used to assist in calculating the National Efficient Price.</w:t>
      </w:r>
    </w:p>
    <w:p w:rsidR="00CD3E69" w:rsidRDefault="00CD3E69" w:rsidP="00660951">
      <w:pPr>
        <w:ind w:right="1926"/>
      </w:pPr>
      <w:r>
        <w:t>The accounts contain revenues and expenses for IHPA’s Activity Based Funding Conference 2015. The cost recovery mechanism allows IHPA to run the conference with a financial surplus.</w:t>
      </w:r>
    </w:p>
    <w:p w:rsidR="00CD3E69" w:rsidRPr="00010D84" w:rsidRDefault="00010D84" w:rsidP="00660951">
      <w:pPr>
        <w:spacing w:before="240"/>
        <w:ind w:right="1926"/>
        <w:rPr>
          <w:b/>
          <w:sz w:val="24"/>
        </w:rPr>
      </w:pPr>
      <w:r w:rsidRPr="00010D84">
        <w:rPr>
          <w:b/>
          <w:sz w:val="24"/>
        </w:rPr>
        <w:t>BUDGET PERFORMANCE</w:t>
      </w:r>
    </w:p>
    <w:p w:rsidR="00372A26" w:rsidRDefault="00CD3E69" w:rsidP="00660951">
      <w:pPr>
        <w:ind w:right="1926"/>
      </w:pPr>
      <w:r>
        <w:t>During the year, IHPA exceeded its revenue budget and kept expenditure within the available budget. This was achieved by an organisational culture that has a strong focus on cost control. Procurement and human resource proposals are rigorously scrutinised and only approved in accordance with business needs.</w:t>
      </w:r>
    </w:p>
    <w:p w:rsidR="00372A26" w:rsidRDefault="00372A26" w:rsidP="00CD3E69">
      <w:r>
        <w:br w:type="page"/>
      </w:r>
    </w:p>
    <w:p w:rsidR="00372A26" w:rsidRDefault="00372A26" w:rsidP="00372A26">
      <w:pPr>
        <w:pStyle w:val="FinancialsH1"/>
      </w:pPr>
      <w:bookmarkStart w:id="13" w:name="_Toc432499187"/>
      <w:bookmarkStart w:id="14" w:name="_Toc432499210"/>
      <w:bookmarkStart w:id="15" w:name="_Toc433193195"/>
      <w:r w:rsidRPr="00372A26">
        <w:lastRenderedPageBreak/>
        <w:t xml:space="preserve">Independent Auditors </w:t>
      </w:r>
      <w:r w:rsidR="00005785">
        <w:t>R</w:t>
      </w:r>
      <w:r w:rsidRPr="00372A26">
        <w:t>eport</w:t>
      </w:r>
      <w:bookmarkEnd w:id="13"/>
      <w:bookmarkEnd w:id="14"/>
      <w:bookmarkEnd w:id="15"/>
    </w:p>
    <w:p w:rsidR="00385ED2" w:rsidRDefault="00385ED2" w:rsidP="00385ED2">
      <w:r>
        <w:rPr>
          <w:noProof/>
        </w:rPr>
        <w:drawing>
          <wp:inline distT="0" distB="0" distL="0" distR="0" wp14:anchorId="1D2241C2" wp14:editId="46415FA8">
            <wp:extent cx="5760000" cy="8152149"/>
            <wp:effectExtent l="0" t="0" r="0" b="1270"/>
            <wp:docPr id="13" name="Picture 13" descr="To the Minister for Health&#10;I have audited the accompanying annual financial statements of the Independent Hospital Pricing Authority for the year ended 30 June 2015, which comprise:&#10;• Statement by the Accountable Authority and Chief Executive, and Chief Financial Officer;&#10;• Statement of Comprehensive Income;&#10;• Statement of Financial Position;&#10;• Statement of Changes in Equity;&#10;• Cash Flow Statement;&#10;• Schedule of Commitments; and&#10;• Notes to and forming part of the Financial Statements comprising a Summary of Significant Accounting Policies and other explanatory information.&#10;Accountable Authority’s Responsibility for the Financial Statements&#10;The Chief Executive Officer is responsible under the Public Governance, Performance and Accountability Act 2013 for the preparation and fair presentation of annual financial statements that comply with the Australian Accounting Standards and the rules made under that Act. The Chief Executive Officer is also responsible for such internal control as is necessary to enable the preparation and fair presentation of financial statements that are free from material misstatement, whether due to fraud or error.&#10;Auditor’s Responsibility&#10;My responsibility is to express an opinion on the financial statements based on my audit. I have conducted my audit in accordance with the Australian National Audit Office Auditing Standards, which incorporate the Australian Auditing Standards. These auditing standards require that I comply with relevant ethical requirements relating to audit engagements and plan and perform the audit to obtain reasonable assurance about whether the financial statements are free from material misstatement.&#10;As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n audit also includes evaluating the appropriateness of the accounting policies used and the (letter continued on the following page)." title="Independent Auditor’s Report p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00" cy="8152149"/>
                    </a:xfrm>
                    <a:prstGeom prst="rect">
                      <a:avLst/>
                    </a:prstGeom>
                  </pic:spPr>
                </pic:pic>
              </a:graphicData>
            </a:graphic>
          </wp:inline>
        </w:drawing>
      </w:r>
      <w:r>
        <w:br w:type="page"/>
      </w:r>
    </w:p>
    <w:p w:rsidR="00372A26" w:rsidRDefault="00385ED2" w:rsidP="00385ED2">
      <w:r>
        <w:rPr>
          <w:noProof/>
        </w:rPr>
        <w:lastRenderedPageBreak/>
        <w:drawing>
          <wp:inline distT="0" distB="0" distL="0" distR="0" wp14:anchorId="54FF8200" wp14:editId="692B2F43">
            <wp:extent cx="5760000" cy="8154000"/>
            <wp:effectExtent l="0" t="0" r="0" b="0"/>
            <wp:docPr id="14" name="Picture 14" descr="reasonableness of accounting estimates made by the Accountable Authority of the entity, as well as evaluating the overall presentation of the financial statements.&#10;I believe that the audit evidence I have obtained is sufficient and appropriate to provide a basis for my audit opinion.&#10;Independence&#10;In conducting my audit, I have followed the independence requirements of the Australian National Audit Office, which incorporate the requirements of the Australian accounting profession.&#10;Opinion&#10;In my opinion, the financial statements of the Independent Hospital Pricing Authority:&#10;a) comply with Australian Accounting Standards and the Public Governance, Performance and Accountability (Financial Reporting) Rule 2015; and&#10;b) present fairly the financial position of the Independent Hospital Pricing Authority as at 30 June 2015 and its financial performance and cash flows for the year then ended.&#10;Australian National Audit Office&#10;Brandon Jarrett&#10;Executive Director&#10;Delegate of the Auditor-General&#10;Canberra&#10;16 September 2015" title="Independent Auditor’s Report pag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0" cy="8154000"/>
                    </a:xfrm>
                    <a:prstGeom prst="rect">
                      <a:avLst/>
                    </a:prstGeom>
                  </pic:spPr>
                </pic:pic>
              </a:graphicData>
            </a:graphic>
          </wp:inline>
        </w:drawing>
      </w:r>
    </w:p>
    <w:p w:rsidR="00385ED2" w:rsidRDefault="00385ED2" w:rsidP="00385ED2">
      <w:r>
        <w:br w:type="page"/>
      </w:r>
    </w:p>
    <w:p w:rsidR="00385ED2" w:rsidRDefault="00005785" w:rsidP="00385ED2">
      <w:pPr>
        <w:pStyle w:val="FinancialsH1"/>
      </w:pPr>
      <w:bookmarkStart w:id="16" w:name="_Toc433193196"/>
      <w:r>
        <w:lastRenderedPageBreak/>
        <w:t>S</w:t>
      </w:r>
      <w:r w:rsidR="00385ED2">
        <w:t xml:space="preserve">tatement of </w:t>
      </w:r>
      <w:r>
        <w:t>O</w:t>
      </w:r>
      <w:r w:rsidR="00385ED2">
        <w:t>fficers</w:t>
      </w:r>
      <w:bookmarkEnd w:id="16"/>
    </w:p>
    <w:p w:rsidR="00385ED2" w:rsidRPr="00385ED2" w:rsidRDefault="00385ED2" w:rsidP="00385ED2">
      <w:r>
        <w:rPr>
          <w:noProof/>
        </w:rPr>
        <w:drawing>
          <wp:inline distT="0" distB="0" distL="0" distR="0" wp14:anchorId="38C10172" wp14:editId="5F613FAA">
            <wp:extent cx="5760000" cy="8152149"/>
            <wp:effectExtent l="0" t="0" r="0" b="1270"/>
            <wp:docPr id="16" name="Picture 16" descr="Independent Hospital Pricing Authority&#10;Statement by the Accountable Authority and Chief Executive, and Chief Financial Officer&#10;In our opinion, the attached financial statements for the year ended 30 June 2015 comply with subsection 42(2) of the Public Governance, Performance and Accountability Act 2013 (PGPA Act), and are based on properly maintained financial records as per subsection 41(2) of the PGPA act.&#10;By our opinion, at the date of this statement, there are reasonable grounds to believe that the Independent Hospital Pricing Authority will be able to pay its debts as and when they fall due.&#10;James Downie&#10;Accountable Authority and Acting Chief Executive Officer&#10;16 September 2015&#10;Peter Hadfield&#10;Chief Financial Officer&#10;16 Sept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8152149"/>
                    </a:xfrm>
                    <a:prstGeom prst="rect">
                      <a:avLst/>
                    </a:prstGeom>
                  </pic:spPr>
                </pic:pic>
              </a:graphicData>
            </a:graphic>
          </wp:inline>
        </w:drawing>
      </w:r>
    </w:p>
    <w:p w:rsidR="00FC654D" w:rsidRDefault="00FC654D" w:rsidP="00FC654D">
      <w:pPr>
        <w:pStyle w:val="FinancialsH1"/>
      </w:pPr>
      <w:bookmarkStart w:id="17" w:name="_Toc433193197"/>
      <w:r>
        <w:lastRenderedPageBreak/>
        <w:t>Financial Statements</w:t>
      </w:r>
      <w:bookmarkEnd w:id="17"/>
    </w:p>
    <w:p w:rsidR="00FC654D" w:rsidRDefault="00FC654D" w:rsidP="00FC654D">
      <w:pPr>
        <w:pStyle w:val="FinancialsH2"/>
      </w:pPr>
      <w:bookmarkStart w:id="18" w:name="_Toc433193198"/>
      <w:r>
        <w:t>Statement of comprehensive income</w:t>
      </w:r>
      <w:bookmarkEnd w:id="18"/>
    </w:p>
    <w:p w:rsidR="00FC654D" w:rsidRDefault="00FC654D" w:rsidP="00677BEF">
      <w:pPr>
        <w:spacing w:before="0" w:after="0"/>
      </w:pPr>
      <w:r>
        <w:t>for the year ended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tatement of comprehensive income for the year ended 30 June 2015"/>
      </w:tblPr>
      <w:tblGrid>
        <w:gridCol w:w="4536"/>
        <w:gridCol w:w="1276"/>
        <w:gridCol w:w="1103"/>
        <w:gridCol w:w="1484"/>
        <w:gridCol w:w="1442"/>
      </w:tblGrid>
      <w:tr w:rsidR="008B164E" w:rsidRPr="008B164E" w:rsidTr="0069072B">
        <w:trPr>
          <w:cnfStyle w:val="100000000000" w:firstRow="1" w:lastRow="0" w:firstColumn="0" w:lastColumn="0" w:oddVBand="0" w:evenVBand="0" w:oddHBand="0" w:evenHBand="0" w:firstRowFirstColumn="0" w:firstRowLastColumn="0" w:lastRowFirstColumn="0" w:lastRowLastColumn="0"/>
          <w:trHeight w:val="60"/>
        </w:trPr>
        <w:tc>
          <w:tcPr>
            <w:tcW w:w="4536" w:type="dxa"/>
            <w:tcBorders>
              <w:bottom w:val="single" w:sz="4" w:space="0" w:color="auto"/>
            </w:tcBorders>
          </w:tcPr>
          <w:p w:rsidR="008B164E" w:rsidRPr="008B164E" w:rsidRDefault="008B164E" w:rsidP="00672B2E">
            <w:pPr>
              <w:pStyle w:val="TableText"/>
              <w:spacing w:before="60" w:after="60" w:line="240" w:lineRule="auto"/>
            </w:pPr>
          </w:p>
        </w:tc>
        <w:tc>
          <w:tcPr>
            <w:tcW w:w="1276" w:type="dxa"/>
            <w:tcBorders>
              <w:bottom w:val="single" w:sz="4" w:space="0" w:color="auto"/>
            </w:tcBorders>
          </w:tcPr>
          <w:p w:rsidR="008B164E" w:rsidRDefault="008B164E" w:rsidP="00761DBF">
            <w:pPr>
              <w:pStyle w:val="FinancialsTableText"/>
              <w:jc w:val="center"/>
            </w:pPr>
            <w:r>
              <w:t>Notes</w:t>
            </w:r>
          </w:p>
        </w:tc>
        <w:tc>
          <w:tcPr>
            <w:tcW w:w="1103" w:type="dxa"/>
            <w:tcBorders>
              <w:bottom w:val="single" w:sz="4" w:space="0" w:color="auto"/>
            </w:tcBorders>
            <w:vAlign w:val="top"/>
          </w:tcPr>
          <w:p w:rsidR="008B164E" w:rsidRPr="008B164E" w:rsidRDefault="00564952" w:rsidP="00761DBF">
            <w:pPr>
              <w:pStyle w:val="FinancialsTableText"/>
              <w:jc w:val="right"/>
            </w:pPr>
            <w:r>
              <w:t>2015</w:t>
            </w:r>
            <w:r>
              <w:br/>
            </w:r>
            <w:r w:rsidR="008B164E" w:rsidRPr="008B164E">
              <w:rPr>
                <w:b w:val="0"/>
              </w:rPr>
              <w:t xml:space="preserve">$’000 </w:t>
            </w:r>
          </w:p>
        </w:tc>
        <w:tc>
          <w:tcPr>
            <w:tcW w:w="1484" w:type="dxa"/>
            <w:tcBorders>
              <w:bottom w:val="single" w:sz="4" w:space="0" w:color="auto"/>
            </w:tcBorders>
            <w:vAlign w:val="top"/>
          </w:tcPr>
          <w:p w:rsidR="008B164E" w:rsidRDefault="008B164E" w:rsidP="00761DBF">
            <w:pPr>
              <w:pStyle w:val="FinancialsTableText"/>
              <w:jc w:val="right"/>
            </w:pPr>
            <w:r>
              <w:t>2014</w:t>
            </w:r>
            <w:r>
              <w:br/>
            </w:r>
            <w:r w:rsidRPr="008B164E">
              <w:rPr>
                <w:b w:val="0"/>
              </w:rPr>
              <w:t>$’000</w:t>
            </w:r>
            <w:r>
              <w:br/>
            </w:r>
            <w:r w:rsidRPr="008B164E">
              <w:rPr>
                <w:b w:val="0"/>
              </w:rPr>
              <w:t>Departmental</w:t>
            </w:r>
          </w:p>
        </w:tc>
        <w:tc>
          <w:tcPr>
            <w:tcW w:w="1442" w:type="dxa"/>
            <w:tcBorders>
              <w:bottom w:val="single" w:sz="4" w:space="0" w:color="auto"/>
            </w:tcBorders>
            <w:shd w:val="clear" w:color="auto" w:fill="E6E7E9"/>
            <w:vAlign w:val="top"/>
          </w:tcPr>
          <w:p w:rsidR="008B164E" w:rsidRDefault="008B164E" w:rsidP="00761DBF">
            <w:pPr>
              <w:pStyle w:val="FinancialsTableText"/>
              <w:jc w:val="right"/>
            </w:pPr>
            <w:r>
              <w:t>2014</w:t>
            </w:r>
            <w:r>
              <w:br/>
            </w:r>
            <w:r w:rsidRPr="008B164E">
              <w:rPr>
                <w:b w:val="0"/>
              </w:rPr>
              <w:t>$’000</w:t>
            </w:r>
            <w:r>
              <w:br/>
            </w:r>
            <w:r w:rsidRPr="008B164E">
              <w:rPr>
                <w:b w:val="0"/>
              </w:rPr>
              <w:t>Administered</w:t>
            </w:r>
          </w:p>
        </w:tc>
      </w:tr>
      <w:tr w:rsidR="008B164E" w:rsidRPr="008B164E" w:rsidTr="0069072B">
        <w:trPr>
          <w:trHeight w:val="58"/>
        </w:trPr>
        <w:tc>
          <w:tcPr>
            <w:tcW w:w="4536" w:type="dxa"/>
            <w:tcBorders>
              <w:top w:val="single" w:sz="4" w:space="0" w:color="auto"/>
              <w:bottom w:val="single" w:sz="4" w:space="0" w:color="auto"/>
            </w:tcBorders>
            <w:vAlign w:val="center"/>
          </w:tcPr>
          <w:p w:rsidR="008B164E" w:rsidRPr="002C4231" w:rsidRDefault="008B164E" w:rsidP="002C4231">
            <w:pPr>
              <w:pStyle w:val="FinancialsTableH1"/>
            </w:pPr>
            <w:r w:rsidRPr="006457F8">
              <w:t>NET COST OF SERVICES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p>
        </w:tc>
      </w:tr>
      <w:tr w:rsidR="008B164E" w:rsidRPr="008B164E" w:rsidTr="0069072B">
        <w:trPr>
          <w:trHeight w:val="58"/>
        </w:trPr>
        <w:tc>
          <w:tcPr>
            <w:tcW w:w="4536" w:type="dxa"/>
            <w:tcBorders>
              <w:top w:val="single" w:sz="4" w:space="0" w:color="auto"/>
              <w:bottom w:val="single" w:sz="4" w:space="0" w:color="auto"/>
            </w:tcBorders>
          </w:tcPr>
          <w:p w:rsidR="008B164E" w:rsidRPr="00043256" w:rsidRDefault="008B164E" w:rsidP="00043256">
            <w:pPr>
              <w:pStyle w:val="FinancialsTableH2"/>
            </w:pPr>
            <w:r w:rsidRPr="00632009">
              <w:t>Expenses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p>
        </w:tc>
      </w:tr>
      <w:tr w:rsidR="008B164E" w:rsidRPr="008B164E" w:rsidTr="0069072B">
        <w:trPr>
          <w:trHeight w:val="58"/>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Employee benefits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3A</w:t>
            </w:r>
          </w:p>
        </w:tc>
        <w:tc>
          <w:tcPr>
            <w:tcW w:w="1103" w:type="dxa"/>
            <w:tcBorders>
              <w:top w:val="single" w:sz="4" w:space="0" w:color="auto"/>
              <w:bottom w:val="single" w:sz="4" w:space="0" w:color="auto"/>
            </w:tcBorders>
          </w:tcPr>
          <w:p w:rsidR="008B164E" w:rsidRPr="00632009" w:rsidRDefault="008B164E" w:rsidP="003B535C">
            <w:pPr>
              <w:pStyle w:val="FinancialsTableText"/>
              <w:jc w:val="right"/>
              <w:rPr>
                <w:b/>
              </w:rPr>
            </w:pPr>
            <w:r w:rsidRPr="00632009">
              <w:rPr>
                <w:b/>
              </w:rPr>
              <w:t xml:space="preserve"> 7,242</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7,090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Suppliers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3B</w:t>
            </w:r>
          </w:p>
        </w:tc>
        <w:tc>
          <w:tcPr>
            <w:tcW w:w="1103" w:type="dxa"/>
            <w:tcBorders>
              <w:top w:val="single" w:sz="4" w:space="0" w:color="auto"/>
              <w:bottom w:val="single" w:sz="4" w:space="0" w:color="auto"/>
            </w:tcBorders>
          </w:tcPr>
          <w:p w:rsidR="008B164E" w:rsidRPr="00632009" w:rsidRDefault="008B164E" w:rsidP="003B535C">
            <w:pPr>
              <w:pStyle w:val="FinancialsTableText"/>
              <w:jc w:val="right"/>
              <w:rPr>
                <w:b/>
              </w:rPr>
            </w:pPr>
            <w:r w:rsidRPr="00632009">
              <w:rPr>
                <w:b/>
              </w:rPr>
              <w:t xml:space="preserve"> 16,423</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2,778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9,862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Depreciation</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3C</w:t>
            </w:r>
          </w:p>
        </w:tc>
        <w:tc>
          <w:tcPr>
            <w:tcW w:w="1103" w:type="dxa"/>
            <w:tcBorders>
              <w:top w:val="single" w:sz="4" w:space="0" w:color="auto"/>
              <w:bottom w:val="single" w:sz="4" w:space="0" w:color="auto"/>
            </w:tcBorders>
          </w:tcPr>
          <w:p w:rsidR="008B164E" w:rsidRPr="00632009" w:rsidRDefault="008B164E" w:rsidP="003B535C">
            <w:pPr>
              <w:pStyle w:val="FinancialsTableText"/>
              <w:jc w:val="right"/>
              <w:rPr>
                <w:b/>
              </w:rPr>
            </w:pPr>
            <w:r w:rsidRPr="00632009">
              <w:rPr>
                <w:b/>
              </w:rPr>
              <w:t xml:space="preserve"> 567</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378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Finance costs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3D</w:t>
            </w:r>
          </w:p>
        </w:tc>
        <w:tc>
          <w:tcPr>
            <w:tcW w:w="1103" w:type="dxa"/>
            <w:tcBorders>
              <w:top w:val="single" w:sz="4" w:space="0" w:color="auto"/>
              <w:bottom w:val="single" w:sz="4" w:space="0" w:color="auto"/>
            </w:tcBorders>
          </w:tcPr>
          <w:p w:rsidR="008B164E" w:rsidRPr="00632009" w:rsidRDefault="008B164E" w:rsidP="003B535C">
            <w:pPr>
              <w:pStyle w:val="FinancialsTableText"/>
              <w:jc w:val="right"/>
              <w:rPr>
                <w:b/>
              </w:rPr>
            </w:pPr>
            <w:r w:rsidRPr="00632009">
              <w:rPr>
                <w:b/>
              </w:rPr>
              <w:t xml:space="preserve">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7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Write-down and impairment of assets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3E</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242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31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Losses from asset sales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3F</w:t>
            </w:r>
          </w:p>
        </w:tc>
        <w:tc>
          <w:tcPr>
            <w:tcW w:w="1103" w:type="dxa"/>
            <w:tcBorders>
              <w:top w:val="single" w:sz="4" w:space="0" w:color="auto"/>
              <w:bottom w:val="single" w:sz="4" w:space="0" w:color="auto"/>
            </w:tcBorders>
          </w:tcPr>
          <w:p w:rsidR="008B164E" w:rsidRPr="00632009" w:rsidRDefault="008B164E" w:rsidP="003B535C">
            <w:pPr>
              <w:pStyle w:val="FinancialsTableText"/>
              <w:jc w:val="right"/>
              <w:rPr>
                <w:b/>
              </w:rPr>
            </w:pPr>
            <w:r w:rsidRPr="00632009">
              <w:rPr>
                <w:b/>
              </w:rPr>
              <w:t>–</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Other expenses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31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expenses</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24,474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10,315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9,862 </w:t>
            </w:r>
          </w:p>
        </w:tc>
      </w:tr>
      <w:tr w:rsidR="008B164E" w:rsidRPr="008B164E" w:rsidTr="0069072B">
        <w:trPr>
          <w:trHeight w:val="60"/>
        </w:trPr>
        <w:tc>
          <w:tcPr>
            <w:tcW w:w="8399" w:type="dxa"/>
            <w:gridSpan w:val="4"/>
            <w:tcBorders>
              <w:top w:val="single" w:sz="4" w:space="0" w:color="auto"/>
              <w:bottom w:val="single" w:sz="4" w:space="0" w:color="auto"/>
            </w:tcBorders>
          </w:tcPr>
          <w:p w:rsidR="008B164E" w:rsidRPr="008B164E" w:rsidRDefault="008B164E" w:rsidP="00672B2E">
            <w:pPr>
              <w:pStyle w:val="FinancialsTableH2"/>
            </w:pPr>
            <w:r w:rsidRPr="008B164E">
              <w:t>Own-source income</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TableText"/>
              <w:spacing w:before="60" w:after="60" w:line="240" w:lineRule="auto"/>
              <w:jc w:val="right"/>
            </w:pPr>
          </w:p>
        </w:tc>
      </w:tr>
      <w:tr w:rsidR="008B164E" w:rsidRPr="008B164E" w:rsidTr="0069072B">
        <w:trPr>
          <w:trHeight w:val="60"/>
        </w:trPr>
        <w:tc>
          <w:tcPr>
            <w:tcW w:w="8399" w:type="dxa"/>
            <w:gridSpan w:val="4"/>
            <w:tcBorders>
              <w:top w:val="single" w:sz="4" w:space="0" w:color="auto"/>
              <w:bottom w:val="single" w:sz="4" w:space="0" w:color="auto"/>
            </w:tcBorders>
          </w:tcPr>
          <w:p w:rsidR="008B164E" w:rsidRPr="008B164E" w:rsidRDefault="008B164E" w:rsidP="00672B2E">
            <w:pPr>
              <w:pStyle w:val="TableText"/>
              <w:spacing w:before="60" w:after="60" w:line="240" w:lineRule="auto"/>
            </w:pPr>
            <w:r w:rsidRPr="008B164E">
              <w:t>Own-source revenue</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TableText"/>
              <w:spacing w:before="60" w:after="60" w:line="240" w:lineRule="auto"/>
              <w:jc w:val="right"/>
            </w:pP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Sale of goods and rendering of services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4A</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2,364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448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567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 xml:space="preserve">Other revenue </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4B</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38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8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 xml:space="preserve">Interest Revenue </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4C</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34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own-source revenue</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2,436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456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567 </w:t>
            </w:r>
          </w:p>
        </w:tc>
      </w:tr>
      <w:tr w:rsidR="008B164E" w:rsidRPr="008B164E" w:rsidTr="0069072B">
        <w:trPr>
          <w:trHeight w:val="60"/>
        </w:trPr>
        <w:tc>
          <w:tcPr>
            <w:tcW w:w="8399" w:type="dxa"/>
            <w:gridSpan w:val="4"/>
            <w:tcBorders>
              <w:top w:val="single" w:sz="4" w:space="0" w:color="auto"/>
              <w:bottom w:val="single" w:sz="4" w:space="0" w:color="auto"/>
            </w:tcBorders>
          </w:tcPr>
          <w:p w:rsidR="008B164E" w:rsidRPr="008B164E" w:rsidRDefault="008B164E" w:rsidP="00672B2E">
            <w:pPr>
              <w:pStyle w:val="FinancialsTableH2"/>
            </w:pPr>
            <w:r w:rsidRPr="008B164E">
              <w:t>Gains</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TableText"/>
              <w:spacing w:before="60" w:after="60" w:line="240" w:lineRule="auto"/>
              <w:jc w:val="right"/>
            </w:pP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Other gains</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4D</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58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58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gains</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58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58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own-source income</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2,494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514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567 </w:t>
            </w:r>
          </w:p>
        </w:tc>
      </w:tr>
      <w:tr w:rsidR="008B164E" w:rsidRPr="008B164E" w:rsidTr="0069072B">
        <w:trPr>
          <w:trHeight w:val="60"/>
        </w:trPr>
        <w:tc>
          <w:tcPr>
            <w:tcW w:w="4536" w:type="dxa"/>
            <w:tcBorders>
              <w:top w:val="single" w:sz="4" w:space="0" w:color="auto"/>
              <w:bottom w:val="single" w:sz="4" w:space="0" w:color="auto"/>
            </w:tcBorders>
          </w:tcPr>
          <w:p w:rsidR="008B164E" w:rsidRPr="008B164E" w:rsidRDefault="008B164E" w:rsidP="00672B2E">
            <w:pPr>
              <w:pStyle w:val="FinancialsTableH2"/>
            </w:pPr>
            <w:r w:rsidRPr="008B164E">
              <w:t>Net cost of services</w:t>
            </w:r>
          </w:p>
        </w:tc>
        <w:tc>
          <w:tcPr>
            <w:tcW w:w="1276" w:type="dxa"/>
            <w:tcBorders>
              <w:top w:val="single" w:sz="4" w:space="0" w:color="auto"/>
              <w:bottom w:val="single" w:sz="4" w:space="0" w:color="auto"/>
            </w:tcBorders>
          </w:tcPr>
          <w:p w:rsidR="008B164E" w:rsidRPr="008B164E" w:rsidRDefault="008B164E" w:rsidP="00672B2E">
            <w:pPr>
              <w:pStyle w:val="FinancialsTableText"/>
              <w:spacing w:before="120"/>
              <w:jc w:val="center"/>
            </w:pPr>
          </w:p>
        </w:tc>
        <w:tc>
          <w:tcPr>
            <w:tcW w:w="1103" w:type="dxa"/>
            <w:tcBorders>
              <w:top w:val="single" w:sz="4" w:space="0" w:color="auto"/>
              <w:bottom w:val="single" w:sz="4" w:space="0" w:color="auto"/>
            </w:tcBorders>
          </w:tcPr>
          <w:p w:rsidR="008B164E" w:rsidRPr="00632009" w:rsidRDefault="008B164E" w:rsidP="00672B2E">
            <w:pPr>
              <w:pStyle w:val="FinancialsTableText"/>
              <w:spacing w:before="120"/>
              <w:jc w:val="right"/>
              <w:rPr>
                <w:b/>
              </w:rPr>
            </w:pPr>
            <w:r w:rsidRPr="00632009">
              <w:rPr>
                <w:b/>
              </w:rPr>
              <w:t xml:space="preserve"> 21,980 </w:t>
            </w:r>
          </w:p>
        </w:tc>
        <w:tc>
          <w:tcPr>
            <w:tcW w:w="1484" w:type="dxa"/>
            <w:tcBorders>
              <w:top w:val="single" w:sz="4" w:space="0" w:color="auto"/>
              <w:bottom w:val="single" w:sz="4" w:space="0" w:color="auto"/>
            </w:tcBorders>
          </w:tcPr>
          <w:p w:rsidR="008B164E" w:rsidRPr="008B164E" w:rsidRDefault="008B164E" w:rsidP="00672B2E">
            <w:pPr>
              <w:pStyle w:val="FinancialsTableText"/>
              <w:spacing w:before="120"/>
              <w:jc w:val="right"/>
            </w:pPr>
            <w:r w:rsidRPr="008B164E">
              <w:t xml:space="preserve"> 9,801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spacing w:before="120"/>
              <w:jc w:val="right"/>
            </w:pPr>
            <w:r w:rsidRPr="008B164E">
              <w:t xml:space="preserve"> 9,295 </w:t>
            </w:r>
          </w:p>
        </w:tc>
      </w:tr>
      <w:tr w:rsidR="008B164E" w:rsidRPr="008B164E" w:rsidTr="0069072B">
        <w:trPr>
          <w:trHeight w:val="60"/>
        </w:trPr>
        <w:tc>
          <w:tcPr>
            <w:tcW w:w="4536" w:type="dxa"/>
            <w:tcBorders>
              <w:top w:val="single" w:sz="4" w:space="0" w:color="auto"/>
              <w:bottom w:val="single" w:sz="4" w:space="0" w:color="auto"/>
            </w:tcBorders>
          </w:tcPr>
          <w:p w:rsidR="008B164E" w:rsidRPr="008B164E" w:rsidRDefault="008B164E" w:rsidP="00672B2E">
            <w:pPr>
              <w:pStyle w:val="TableText"/>
              <w:spacing w:before="60" w:after="60" w:line="240" w:lineRule="auto"/>
            </w:pPr>
            <w:r w:rsidRPr="008B164E">
              <w:t>Revenue from Government</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r w:rsidRPr="008B164E">
              <w:t>4E</w:t>
            </w: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25,726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13,407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Surplus after income tax</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3,746 </w:t>
            </w:r>
          </w:p>
        </w:tc>
        <w:tc>
          <w:tcPr>
            <w:tcW w:w="1484" w:type="dxa"/>
            <w:tcBorders>
              <w:top w:val="single" w:sz="4" w:space="0" w:color="auto"/>
              <w:bottom w:val="single" w:sz="4" w:space="0" w:color="auto"/>
            </w:tcBorders>
          </w:tcPr>
          <w:p w:rsidR="008B164E" w:rsidRPr="008B164E" w:rsidRDefault="008B164E" w:rsidP="00FC33BA">
            <w:pPr>
              <w:pStyle w:val="FinancialsTableText"/>
              <w:jc w:val="right"/>
            </w:pPr>
            <w:r w:rsidRPr="008B164E">
              <w:t>3,606</w:t>
            </w:r>
          </w:p>
        </w:tc>
        <w:tc>
          <w:tcPr>
            <w:tcW w:w="1442" w:type="dxa"/>
            <w:tcBorders>
              <w:top w:val="single" w:sz="4" w:space="0" w:color="auto"/>
              <w:bottom w:val="single" w:sz="4" w:space="0" w:color="auto"/>
            </w:tcBorders>
            <w:shd w:val="clear" w:color="auto" w:fill="E6E7E9"/>
          </w:tcPr>
          <w:p w:rsidR="008B164E" w:rsidRPr="008B164E" w:rsidRDefault="008B164E" w:rsidP="00FC33BA">
            <w:pPr>
              <w:pStyle w:val="FinancialsTableText"/>
              <w:jc w:val="right"/>
            </w:pPr>
            <w:r w:rsidRPr="008B164E">
              <w:t>(9,295)</w:t>
            </w:r>
          </w:p>
        </w:tc>
      </w:tr>
      <w:tr w:rsidR="008B164E" w:rsidRPr="008B164E" w:rsidTr="0069072B">
        <w:trPr>
          <w:trHeight w:val="60"/>
        </w:trPr>
        <w:tc>
          <w:tcPr>
            <w:tcW w:w="8399" w:type="dxa"/>
            <w:gridSpan w:val="4"/>
            <w:tcBorders>
              <w:top w:val="single" w:sz="4" w:space="0" w:color="auto"/>
              <w:bottom w:val="single" w:sz="4" w:space="0" w:color="auto"/>
            </w:tcBorders>
          </w:tcPr>
          <w:p w:rsidR="008B164E" w:rsidRPr="006457F8" w:rsidRDefault="008B164E" w:rsidP="006457F8">
            <w:pPr>
              <w:pStyle w:val="FinancialsTableH1"/>
            </w:pPr>
            <w:r w:rsidRPr="006457F8">
              <w:t>Other comprehensive income</w:t>
            </w:r>
          </w:p>
          <w:p w:rsidR="008B164E" w:rsidRPr="008B164E" w:rsidRDefault="008B164E" w:rsidP="00293489">
            <w:pPr>
              <w:pStyle w:val="FinancialsTableText"/>
              <w:spacing w:before="0"/>
            </w:pPr>
            <w:r w:rsidRPr="008B164E">
              <w:t>Items not subject to subsequent reclassification to net cost of services</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TableText"/>
              <w:spacing w:before="60" w:after="60" w:line="240" w:lineRule="auto"/>
              <w:jc w:val="right"/>
            </w:pPr>
          </w:p>
        </w:tc>
      </w:tr>
      <w:tr w:rsidR="008B164E" w:rsidRPr="008B164E" w:rsidTr="0069072B">
        <w:trPr>
          <w:trHeight w:val="60"/>
        </w:trPr>
        <w:tc>
          <w:tcPr>
            <w:tcW w:w="4536" w:type="dxa"/>
            <w:tcBorders>
              <w:top w:val="single" w:sz="4" w:space="0" w:color="auto"/>
              <w:bottom w:val="single" w:sz="4" w:space="0" w:color="auto"/>
            </w:tcBorders>
          </w:tcPr>
          <w:p w:rsidR="008B164E" w:rsidRPr="00632009" w:rsidRDefault="008B164E" w:rsidP="00672B2E">
            <w:pPr>
              <w:pStyle w:val="FinancialsTableTextIndented"/>
            </w:pPr>
            <w:r w:rsidRPr="00632009">
              <w:t>Changes in asset revaluation reserve</w:t>
            </w:r>
          </w:p>
        </w:tc>
        <w:tc>
          <w:tcPr>
            <w:tcW w:w="1276" w:type="dxa"/>
            <w:tcBorders>
              <w:top w:val="single" w:sz="4" w:space="0" w:color="auto"/>
              <w:bottom w:val="single" w:sz="4" w:space="0" w:color="auto"/>
            </w:tcBorders>
          </w:tcPr>
          <w:p w:rsidR="008B164E" w:rsidRPr="008B164E" w:rsidRDefault="008B164E" w:rsidP="00672B2E">
            <w:pPr>
              <w:pStyle w:val="FinancialsTableText"/>
              <w:jc w:val="center"/>
            </w:pPr>
          </w:p>
        </w:tc>
        <w:tc>
          <w:tcPr>
            <w:tcW w:w="1103" w:type="dxa"/>
            <w:tcBorders>
              <w:top w:val="single" w:sz="4" w:space="0" w:color="auto"/>
              <w:bottom w:val="single" w:sz="4" w:space="0" w:color="auto"/>
            </w:tcBorders>
          </w:tcPr>
          <w:p w:rsidR="008B164E" w:rsidRPr="00632009" w:rsidRDefault="008B164E" w:rsidP="00672B2E">
            <w:pPr>
              <w:pStyle w:val="FinancialsTableText"/>
              <w:jc w:val="right"/>
              <w:rPr>
                <w:b/>
              </w:rPr>
            </w:pPr>
            <w:r w:rsidRPr="00632009">
              <w:rPr>
                <w:b/>
              </w:rPr>
              <w:t xml:space="preserve"> – </w:t>
            </w:r>
          </w:p>
        </w:tc>
        <w:tc>
          <w:tcPr>
            <w:tcW w:w="1484" w:type="dxa"/>
            <w:tcBorders>
              <w:top w:val="single" w:sz="4" w:space="0" w:color="auto"/>
              <w:bottom w:val="single" w:sz="4" w:space="0" w:color="auto"/>
            </w:tcBorders>
          </w:tcPr>
          <w:p w:rsidR="008B164E" w:rsidRPr="008B164E" w:rsidRDefault="008B164E" w:rsidP="00672B2E">
            <w:pPr>
              <w:pStyle w:val="FinancialsTableText"/>
              <w:jc w:val="right"/>
            </w:pPr>
            <w:r w:rsidRPr="008B164E">
              <w:t xml:space="preserve"> 16 </w:t>
            </w:r>
          </w:p>
        </w:tc>
        <w:tc>
          <w:tcPr>
            <w:tcW w:w="1442" w:type="dxa"/>
            <w:tcBorders>
              <w:top w:val="single" w:sz="4" w:space="0" w:color="auto"/>
              <w:bottom w:val="single" w:sz="4" w:space="0" w:color="auto"/>
            </w:tcBorders>
            <w:shd w:val="clear" w:color="auto" w:fill="E6E7E9"/>
          </w:tcPr>
          <w:p w:rsidR="008B164E" w:rsidRPr="008B164E" w:rsidRDefault="008B164E" w:rsidP="00672B2E">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other comprehensive income</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16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 </w:t>
            </w:r>
          </w:p>
        </w:tc>
      </w:tr>
      <w:tr w:rsidR="008B164E" w:rsidRPr="008B164E" w:rsidTr="0069072B">
        <w:trPr>
          <w:trHeight w:val="60"/>
        </w:trPr>
        <w:tc>
          <w:tcPr>
            <w:tcW w:w="4536" w:type="dxa"/>
            <w:tcBorders>
              <w:top w:val="single" w:sz="4" w:space="0" w:color="auto"/>
              <w:bottom w:val="single" w:sz="4" w:space="0" w:color="auto"/>
            </w:tcBorders>
          </w:tcPr>
          <w:p w:rsidR="008B164E" w:rsidRPr="00677895" w:rsidRDefault="008B164E" w:rsidP="00677895">
            <w:pPr>
              <w:pStyle w:val="FinancialsTableText"/>
              <w:rPr>
                <w:b/>
              </w:rPr>
            </w:pPr>
            <w:r w:rsidRPr="00677895">
              <w:rPr>
                <w:b/>
              </w:rPr>
              <w:t>Total comprehensive income</w:t>
            </w:r>
          </w:p>
        </w:tc>
        <w:tc>
          <w:tcPr>
            <w:tcW w:w="1276" w:type="dxa"/>
            <w:tcBorders>
              <w:top w:val="single" w:sz="4" w:space="0" w:color="auto"/>
              <w:bottom w:val="single" w:sz="4" w:space="0" w:color="auto"/>
            </w:tcBorders>
          </w:tcPr>
          <w:p w:rsidR="008B164E" w:rsidRPr="008B164E" w:rsidRDefault="008B164E" w:rsidP="00677895">
            <w:pPr>
              <w:pStyle w:val="FinancialsTableText"/>
            </w:pPr>
          </w:p>
        </w:tc>
        <w:tc>
          <w:tcPr>
            <w:tcW w:w="1103" w:type="dxa"/>
            <w:tcBorders>
              <w:top w:val="single" w:sz="4" w:space="0" w:color="auto"/>
              <w:bottom w:val="single" w:sz="4" w:space="0" w:color="auto"/>
            </w:tcBorders>
          </w:tcPr>
          <w:p w:rsidR="008B164E" w:rsidRPr="00677895" w:rsidRDefault="008B164E" w:rsidP="00677895">
            <w:pPr>
              <w:pStyle w:val="FinancialsTableText"/>
              <w:jc w:val="right"/>
              <w:rPr>
                <w:b/>
              </w:rPr>
            </w:pPr>
            <w:r w:rsidRPr="00677895">
              <w:rPr>
                <w:b/>
              </w:rPr>
              <w:t xml:space="preserve"> 3,746 </w:t>
            </w:r>
          </w:p>
        </w:tc>
        <w:tc>
          <w:tcPr>
            <w:tcW w:w="1484" w:type="dxa"/>
            <w:tcBorders>
              <w:top w:val="single" w:sz="4" w:space="0" w:color="auto"/>
              <w:bottom w:val="single" w:sz="4" w:space="0" w:color="auto"/>
            </w:tcBorders>
          </w:tcPr>
          <w:p w:rsidR="008B164E" w:rsidRPr="008B164E" w:rsidRDefault="008B164E" w:rsidP="00677895">
            <w:pPr>
              <w:pStyle w:val="FinancialsTableText"/>
              <w:jc w:val="right"/>
            </w:pPr>
            <w:r w:rsidRPr="008B164E">
              <w:t xml:space="preserve"> 3,622 </w:t>
            </w:r>
          </w:p>
        </w:tc>
        <w:tc>
          <w:tcPr>
            <w:tcW w:w="1442" w:type="dxa"/>
            <w:tcBorders>
              <w:top w:val="single" w:sz="4" w:space="0" w:color="auto"/>
              <w:bottom w:val="single" w:sz="4" w:space="0" w:color="auto"/>
            </w:tcBorders>
            <w:shd w:val="clear" w:color="auto" w:fill="E6E7E9"/>
          </w:tcPr>
          <w:p w:rsidR="008B164E" w:rsidRPr="008B164E" w:rsidRDefault="008B164E" w:rsidP="00677895">
            <w:pPr>
              <w:pStyle w:val="FinancialsTableText"/>
              <w:jc w:val="right"/>
            </w:pPr>
            <w:r w:rsidRPr="008B164E">
              <w:t xml:space="preserve"> (9,295)</w:t>
            </w:r>
          </w:p>
        </w:tc>
      </w:tr>
    </w:tbl>
    <w:p w:rsidR="00150D2A" w:rsidRDefault="00425FBA" w:rsidP="00150D2A">
      <w:pPr>
        <w:pStyle w:val="SourceNotesText"/>
        <w:spacing w:after="0"/>
        <w:rPr>
          <w:b/>
          <w:lang w:val="en-GB"/>
        </w:rPr>
      </w:pPr>
      <w:r w:rsidRPr="00425FBA">
        <w:rPr>
          <w:b/>
          <w:lang w:val="en-GB"/>
        </w:rPr>
        <w:t>Note</w:t>
      </w:r>
    </w:p>
    <w:p w:rsidR="00425FBA" w:rsidRPr="00425FBA" w:rsidRDefault="00425FBA" w:rsidP="00150D2A">
      <w:pPr>
        <w:pStyle w:val="SourceNotesText"/>
        <w:spacing w:before="0"/>
        <w:rPr>
          <w:lang w:val="en-GB"/>
        </w:rPr>
      </w:pPr>
      <w:r w:rsidRPr="00425FBA">
        <w:rPr>
          <w:lang w:val="en-GB"/>
        </w:rPr>
        <w:t xml:space="preserve">In 2014, IHPA operated under the </w:t>
      </w:r>
      <w:r w:rsidRPr="00425FBA">
        <w:rPr>
          <w:i/>
          <w:iCs/>
          <w:lang w:val="en-GB"/>
        </w:rPr>
        <w:t>Financial Management and Accountability Act 1997</w:t>
      </w:r>
      <w:r w:rsidRPr="00425FBA">
        <w:rPr>
          <w:lang w:val="en-GB"/>
        </w:rPr>
        <w:t xml:space="preserve"> and received both administered and departmental appropriations. In 2015, IHPA became a Corporate Commonwealth Entity under the </w:t>
      </w:r>
      <w:r w:rsidRPr="00425FBA">
        <w:rPr>
          <w:i/>
          <w:iCs/>
          <w:lang w:val="en-GB"/>
        </w:rPr>
        <w:t xml:space="preserve">Public Governance, Performance and Accountability </w:t>
      </w:r>
      <w:r w:rsidRPr="00425FBA">
        <w:rPr>
          <w:lang w:val="en-GB"/>
        </w:rPr>
        <w:t>(PGPA)</w:t>
      </w:r>
      <w:r w:rsidRPr="00425FBA">
        <w:rPr>
          <w:i/>
          <w:iCs/>
          <w:lang w:val="en-GB"/>
        </w:rPr>
        <w:t xml:space="preserve"> Act 2013</w:t>
      </w:r>
      <w:r w:rsidRPr="00425FBA">
        <w:rPr>
          <w:lang w:val="en-GB"/>
        </w:rPr>
        <w:t xml:space="preserve"> and received one combined appropriation. </w:t>
      </w:r>
    </w:p>
    <w:p w:rsidR="00536880" w:rsidRDefault="00425FBA" w:rsidP="00536880">
      <w:pPr>
        <w:pStyle w:val="SourceNotesText"/>
      </w:pPr>
      <w:r w:rsidRPr="00425FBA">
        <w:rPr>
          <w:i/>
          <w:iCs/>
          <w:lang w:val="en-GB"/>
        </w:rPr>
        <w:t>The above statement should be read in conjunction with the accompanying notes</w:t>
      </w:r>
      <w:r w:rsidR="00536880">
        <w:br w:type="page"/>
      </w:r>
    </w:p>
    <w:p w:rsidR="00425FBA" w:rsidRDefault="00425FBA" w:rsidP="00536880">
      <w:pPr>
        <w:pStyle w:val="FinancialsH2"/>
        <w:spacing w:before="0"/>
      </w:pPr>
      <w:bookmarkStart w:id="19" w:name="_Toc433193199"/>
      <w:r>
        <w:lastRenderedPageBreak/>
        <w:t>Statement of financial position</w:t>
      </w:r>
      <w:bookmarkEnd w:id="19"/>
    </w:p>
    <w:p w:rsidR="00425FBA" w:rsidRDefault="00425FBA" w:rsidP="004D16A4">
      <w:pPr>
        <w:spacing w:before="0" w:after="0"/>
      </w:pPr>
      <w:r>
        <w:t>as at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tatement of financial position as at 30 June 2015"/>
      </w:tblPr>
      <w:tblGrid>
        <w:gridCol w:w="4536"/>
        <w:gridCol w:w="1276"/>
        <w:gridCol w:w="1103"/>
        <w:gridCol w:w="1484"/>
        <w:gridCol w:w="1442"/>
      </w:tblGrid>
      <w:tr w:rsidR="00536880" w:rsidRPr="008B164E" w:rsidTr="00DB6B99">
        <w:trPr>
          <w:cnfStyle w:val="100000000000" w:firstRow="1" w:lastRow="0" w:firstColumn="0" w:lastColumn="0" w:oddVBand="0" w:evenVBand="0" w:oddHBand="0" w:evenHBand="0" w:firstRowFirstColumn="0" w:firstRowLastColumn="0" w:lastRowFirstColumn="0" w:lastRowLastColumn="0"/>
          <w:trHeight w:val="60"/>
        </w:trPr>
        <w:tc>
          <w:tcPr>
            <w:tcW w:w="4536" w:type="dxa"/>
            <w:tcBorders>
              <w:bottom w:val="single" w:sz="4" w:space="0" w:color="auto"/>
            </w:tcBorders>
          </w:tcPr>
          <w:p w:rsidR="00536880" w:rsidRPr="008B164E" w:rsidRDefault="00536880" w:rsidP="005D1177">
            <w:pPr>
              <w:pStyle w:val="TableText"/>
              <w:spacing w:before="60" w:after="60" w:line="240" w:lineRule="auto"/>
            </w:pPr>
          </w:p>
        </w:tc>
        <w:tc>
          <w:tcPr>
            <w:tcW w:w="1276" w:type="dxa"/>
            <w:tcBorders>
              <w:bottom w:val="single" w:sz="4" w:space="0" w:color="auto"/>
            </w:tcBorders>
          </w:tcPr>
          <w:p w:rsidR="00536880" w:rsidRDefault="00536880" w:rsidP="00761DBF">
            <w:pPr>
              <w:pStyle w:val="FinancialsTableText"/>
              <w:jc w:val="center"/>
            </w:pPr>
            <w:r>
              <w:t>Notes</w:t>
            </w:r>
          </w:p>
        </w:tc>
        <w:tc>
          <w:tcPr>
            <w:tcW w:w="1103" w:type="dxa"/>
            <w:tcBorders>
              <w:bottom w:val="single" w:sz="4" w:space="0" w:color="auto"/>
            </w:tcBorders>
            <w:vAlign w:val="top"/>
          </w:tcPr>
          <w:p w:rsidR="00536880" w:rsidRPr="008B164E" w:rsidRDefault="00564952" w:rsidP="00761DBF">
            <w:pPr>
              <w:pStyle w:val="FinancialsTableText"/>
              <w:jc w:val="right"/>
            </w:pPr>
            <w:r>
              <w:t>2015</w:t>
            </w:r>
            <w:r>
              <w:br/>
            </w:r>
            <w:r w:rsidR="00761DBF">
              <w:rPr>
                <w:b w:val="0"/>
              </w:rPr>
              <w:t>$’000</w:t>
            </w:r>
          </w:p>
        </w:tc>
        <w:tc>
          <w:tcPr>
            <w:tcW w:w="1484" w:type="dxa"/>
            <w:tcBorders>
              <w:bottom w:val="single" w:sz="4" w:space="0" w:color="auto"/>
            </w:tcBorders>
            <w:vAlign w:val="top"/>
          </w:tcPr>
          <w:p w:rsidR="00536880" w:rsidRDefault="00536880" w:rsidP="00761DBF">
            <w:pPr>
              <w:pStyle w:val="FinancialsTableText"/>
              <w:jc w:val="right"/>
            </w:pPr>
            <w:r>
              <w:t>2014</w:t>
            </w:r>
            <w:r>
              <w:br/>
            </w:r>
            <w:r w:rsidRPr="008B164E">
              <w:rPr>
                <w:b w:val="0"/>
              </w:rPr>
              <w:t>$’000</w:t>
            </w:r>
            <w:r>
              <w:br/>
            </w:r>
            <w:r w:rsidRPr="008B164E">
              <w:rPr>
                <w:b w:val="0"/>
              </w:rPr>
              <w:t>Departmental</w:t>
            </w:r>
          </w:p>
        </w:tc>
        <w:tc>
          <w:tcPr>
            <w:tcW w:w="1442" w:type="dxa"/>
            <w:tcBorders>
              <w:bottom w:val="single" w:sz="4" w:space="0" w:color="auto"/>
            </w:tcBorders>
            <w:shd w:val="clear" w:color="auto" w:fill="E6E7E9"/>
            <w:vAlign w:val="top"/>
          </w:tcPr>
          <w:p w:rsidR="00536880" w:rsidRDefault="00536880" w:rsidP="00761DBF">
            <w:pPr>
              <w:pStyle w:val="FinancialsTableText"/>
              <w:jc w:val="right"/>
            </w:pPr>
            <w:r>
              <w:t>2014</w:t>
            </w:r>
            <w:r>
              <w:br/>
            </w:r>
            <w:r w:rsidRPr="008B164E">
              <w:rPr>
                <w:b w:val="0"/>
              </w:rPr>
              <w:t>$’000</w:t>
            </w:r>
            <w:r>
              <w:br/>
            </w:r>
            <w:r w:rsidRPr="008B164E">
              <w:rPr>
                <w:b w:val="0"/>
              </w:rPr>
              <w:t>Administered</w:t>
            </w:r>
          </w:p>
        </w:tc>
      </w:tr>
      <w:tr w:rsidR="00536880" w:rsidRPr="008B164E" w:rsidTr="00DB6B99">
        <w:trPr>
          <w:trHeight w:val="58"/>
        </w:trPr>
        <w:tc>
          <w:tcPr>
            <w:tcW w:w="4536" w:type="dxa"/>
            <w:tcBorders>
              <w:top w:val="single" w:sz="4" w:space="0" w:color="auto"/>
              <w:bottom w:val="single" w:sz="4" w:space="0" w:color="auto"/>
            </w:tcBorders>
          </w:tcPr>
          <w:p w:rsidR="00536880" w:rsidRPr="002C4231" w:rsidRDefault="00536880" w:rsidP="002C4231">
            <w:pPr>
              <w:pStyle w:val="FinancialsTableH1"/>
            </w:pPr>
            <w:r w:rsidRPr="007A7D19">
              <w:t>assets</w:t>
            </w:r>
          </w:p>
        </w:tc>
        <w:tc>
          <w:tcPr>
            <w:tcW w:w="1276" w:type="dxa"/>
            <w:tcBorders>
              <w:top w:val="single" w:sz="4" w:space="0" w:color="auto"/>
              <w:bottom w:val="single" w:sz="4" w:space="0" w:color="auto"/>
            </w:tcBorders>
          </w:tcPr>
          <w:p w:rsidR="00536880" w:rsidRPr="00BE150A" w:rsidRDefault="00536880" w:rsidP="00BE150A">
            <w:pPr>
              <w:pStyle w:val="FinancialsTableText"/>
              <w:jc w:val="center"/>
            </w:pPr>
          </w:p>
        </w:tc>
        <w:tc>
          <w:tcPr>
            <w:tcW w:w="1103" w:type="dxa"/>
            <w:tcBorders>
              <w:top w:val="single" w:sz="4" w:space="0" w:color="auto"/>
              <w:bottom w:val="single" w:sz="4" w:space="0" w:color="auto"/>
            </w:tcBorders>
          </w:tcPr>
          <w:p w:rsidR="00536880" w:rsidRPr="00BE150A" w:rsidRDefault="00536880" w:rsidP="00BE150A">
            <w:pPr>
              <w:pStyle w:val="FinancialsTableText"/>
              <w:jc w:val="right"/>
            </w:pPr>
          </w:p>
        </w:tc>
        <w:tc>
          <w:tcPr>
            <w:tcW w:w="1484" w:type="dxa"/>
            <w:tcBorders>
              <w:top w:val="single" w:sz="4" w:space="0" w:color="auto"/>
              <w:bottom w:val="single" w:sz="4" w:space="0" w:color="auto"/>
            </w:tcBorders>
          </w:tcPr>
          <w:p w:rsidR="00536880" w:rsidRPr="00BE150A" w:rsidRDefault="00536880" w:rsidP="00BE150A">
            <w:pPr>
              <w:pStyle w:val="FinancialsTableText"/>
              <w:jc w:val="right"/>
            </w:pPr>
          </w:p>
        </w:tc>
        <w:tc>
          <w:tcPr>
            <w:tcW w:w="1442" w:type="dxa"/>
            <w:tcBorders>
              <w:top w:val="single" w:sz="4" w:space="0" w:color="auto"/>
              <w:bottom w:val="single" w:sz="4" w:space="0" w:color="auto"/>
            </w:tcBorders>
            <w:shd w:val="clear" w:color="auto" w:fill="E6E7E9"/>
          </w:tcPr>
          <w:p w:rsidR="00536880" w:rsidRPr="00BE150A" w:rsidRDefault="00536880" w:rsidP="00BE150A">
            <w:pPr>
              <w:pStyle w:val="FinancialsTableText"/>
              <w:jc w:val="right"/>
            </w:pPr>
          </w:p>
        </w:tc>
      </w:tr>
      <w:tr w:rsidR="00536880" w:rsidRPr="008B164E" w:rsidTr="00DB6B99">
        <w:trPr>
          <w:trHeight w:val="60"/>
        </w:trPr>
        <w:tc>
          <w:tcPr>
            <w:tcW w:w="4536" w:type="dxa"/>
            <w:tcBorders>
              <w:top w:val="single" w:sz="4" w:space="0" w:color="auto"/>
              <w:bottom w:val="single" w:sz="4" w:space="0" w:color="auto"/>
            </w:tcBorders>
          </w:tcPr>
          <w:p w:rsidR="00536880" w:rsidRPr="00632009" w:rsidRDefault="00536880" w:rsidP="00536880">
            <w:pPr>
              <w:pStyle w:val="FinancialsTableH2"/>
            </w:pPr>
            <w:r>
              <w:t>Financial assets</w:t>
            </w:r>
          </w:p>
        </w:tc>
        <w:tc>
          <w:tcPr>
            <w:tcW w:w="1276" w:type="dxa"/>
            <w:tcBorders>
              <w:top w:val="single" w:sz="4" w:space="0" w:color="auto"/>
              <w:bottom w:val="single" w:sz="4" w:space="0" w:color="auto"/>
            </w:tcBorders>
          </w:tcPr>
          <w:p w:rsidR="00536880" w:rsidRPr="00BE150A" w:rsidRDefault="00536880" w:rsidP="00BE150A">
            <w:pPr>
              <w:pStyle w:val="FinancialsTableText"/>
              <w:jc w:val="center"/>
            </w:pPr>
          </w:p>
        </w:tc>
        <w:tc>
          <w:tcPr>
            <w:tcW w:w="1103" w:type="dxa"/>
            <w:tcBorders>
              <w:top w:val="single" w:sz="4" w:space="0" w:color="auto"/>
              <w:bottom w:val="single" w:sz="4" w:space="0" w:color="auto"/>
            </w:tcBorders>
          </w:tcPr>
          <w:p w:rsidR="00536880" w:rsidRPr="00BE150A" w:rsidRDefault="00536880" w:rsidP="00BE150A">
            <w:pPr>
              <w:pStyle w:val="FinancialsTableText"/>
              <w:jc w:val="right"/>
            </w:pPr>
          </w:p>
        </w:tc>
        <w:tc>
          <w:tcPr>
            <w:tcW w:w="1484" w:type="dxa"/>
            <w:tcBorders>
              <w:top w:val="single" w:sz="4" w:space="0" w:color="auto"/>
              <w:bottom w:val="single" w:sz="4" w:space="0" w:color="auto"/>
            </w:tcBorders>
          </w:tcPr>
          <w:p w:rsidR="00536880" w:rsidRPr="00BE150A" w:rsidRDefault="00536880" w:rsidP="00BE150A">
            <w:pPr>
              <w:pStyle w:val="FinancialsTableText"/>
              <w:jc w:val="right"/>
            </w:pPr>
          </w:p>
        </w:tc>
        <w:tc>
          <w:tcPr>
            <w:tcW w:w="1442" w:type="dxa"/>
            <w:tcBorders>
              <w:top w:val="single" w:sz="4" w:space="0" w:color="auto"/>
              <w:bottom w:val="single" w:sz="4" w:space="0" w:color="auto"/>
            </w:tcBorders>
            <w:shd w:val="clear" w:color="auto" w:fill="E6E7E9"/>
          </w:tcPr>
          <w:p w:rsidR="00536880" w:rsidRPr="00BE150A" w:rsidRDefault="00536880" w:rsidP="00BE150A">
            <w:pPr>
              <w:pStyle w:val="FinancialsTableText"/>
              <w:jc w:val="right"/>
            </w:pP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Cash and cash equivalents</w:t>
            </w:r>
          </w:p>
        </w:tc>
        <w:tc>
          <w:tcPr>
            <w:tcW w:w="1276" w:type="dxa"/>
            <w:tcBorders>
              <w:top w:val="single" w:sz="4" w:space="0" w:color="auto"/>
              <w:bottom w:val="single" w:sz="4" w:space="0" w:color="auto"/>
            </w:tcBorders>
          </w:tcPr>
          <w:p w:rsidR="00536880" w:rsidRPr="00BE150A" w:rsidRDefault="00536880" w:rsidP="00BE150A">
            <w:pPr>
              <w:pStyle w:val="FinancialsTableText"/>
              <w:jc w:val="center"/>
            </w:pPr>
            <w:r w:rsidRPr="00BE150A">
              <w:t>5A</w:t>
            </w:r>
          </w:p>
        </w:tc>
        <w:tc>
          <w:tcPr>
            <w:tcW w:w="1103" w:type="dxa"/>
            <w:tcBorders>
              <w:top w:val="single" w:sz="4" w:space="0" w:color="auto"/>
              <w:bottom w:val="single" w:sz="4" w:space="0" w:color="auto"/>
            </w:tcBorders>
          </w:tcPr>
          <w:p w:rsidR="00536880" w:rsidRPr="00BE150A" w:rsidRDefault="00536880" w:rsidP="00BE150A">
            <w:pPr>
              <w:pStyle w:val="FinancialsTableText"/>
              <w:jc w:val="right"/>
              <w:rPr>
                <w:b/>
              </w:rPr>
            </w:pPr>
            <w:r w:rsidRPr="00BE150A">
              <w:rPr>
                <w:b/>
              </w:rPr>
              <w:t xml:space="preserve"> 4,743 </w:t>
            </w:r>
          </w:p>
        </w:tc>
        <w:tc>
          <w:tcPr>
            <w:tcW w:w="1484" w:type="dxa"/>
            <w:tcBorders>
              <w:top w:val="single" w:sz="4" w:space="0" w:color="auto"/>
              <w:bottom w:val="single" w:sz="4" w:space="0" w:color="auto"/>
            </w:tcBorders>
          </w:tcPr>
          <w:p w:rsidR="00536880" w:rsidRPr="00BE150A" w:rsidRDefault="00536880" w:rsidP="00BE150A">
            <w:pPr>
              <w:pStyle w:val="FinancialsTableText"/>
              <w:jc w:val="right"/>
            </w:pPr>
            <w:r w:rsidRPr="00BE150A">
              <w:t xml:space="preserve"> 313 </w:t>
            </w:r>
          </w:p>
        </w:tc>
        <w:tc>
          <w:tcPr>
            <w:tcW w:w="1442" w:type="dxa"/>
            <w:tcBorders>
              <w:top w:val="single" w:sz="4" w:space="0" w:color="auto"/>
              <w:bottom w:val="single" w:sz="4" w:space="0" w:color="auto"/>
            </w:tcBorders>
            <w:shd w:val="clear" w:color="auto" w:fill="E6E7E9"/>
          </w:tcPr>
          <w:p w:rsidR="00536880" w:rsidRPr="00BE150A" w:rsidRDefault="00536880" w:rsidP="00BE150A">
            <w:pPr>
              <w:pStyle w:val="FinancialsTableText"/>
              <w:jc w:val="right"/>
            </w:pPr>
            <w:r w:rsidRPr="00BE150A">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Trade and other receivables</w:t>
            </w:r>
          </w:p>
        </w:tc>
        <w:tc>
          <w:tcPr>
            <w:tcW w:w="1276" w:type="dxa"/>
            <w:tcBorders>
              <w:top w:val="single" w:sz="4" w:space="0" w:color="auto"/>
              <w:bottom w:val="single" w:sz="4" w:space="0" w:color="auto"/>
            </w:tcBorders>
          </w:tcPr>
          <w:p w:rsidR="00536880" w:rsidRPr="00BE150A" w:rsidRDefault="00536880" w:rsidP="00BE150A">
            <w:pPr>
              <w:pStyle w:val="FinancialsTableText"/>
              <w:jc w:val="center"/>
            </w:pPr>
            <w:r w:rsidRPr="00BE150A">
              <w:t>5B</w:t>
            </w:r>
          </w:p>
        </w:tc>
        <w:tc>
          <w:tcPr>
            <w:tcW w:w="1103" w:type="dxa"/>
            <w:tcBorders>
              <w:top w:val="single" w:sz="4" w:space="0" w:color="auto"/>
              <w:bottom w:val="single" w:sz="4" w:space="0" w:color="auto"/>
            </w:tcBorders>
          </w:tcPr>
          <w:p w:rsidR="00536880" w:rsidRPr="00BE150A" w:rsidRDefault="00536880" w:rsidP="00BE150A">
            <w:pPr>
              <w:pStyle w:val="FinancialsTableText"/>
              <w:jc w:val="right"/>
              <w:rPr>
                <w:b/>
              </w:rPr>
            </w:pPr>
            <w:r w:rsidRPr="00BE150A">
              <w:rPr>
                <w:b/>
              </w:rPr>
              <w:t xml:space="preserve"> 19,864 </w:t>
            </w:r>
          </w:p>
        </w:tc>
        <w:tc>
          <w:tcPr>
            <w:tcW w:w="1484" w:type="dxa"/>
            <w:tcBorders>
              <w:top w:val="single" w:sz="4" w:space="0" w:color="auto"/>
              <w:bottom w:val="single" w:sz="4" w:space="0" w:color="auto"/>
            </w:tcBorders>
          </w:tcPr>
          <w:p w:rsidR="00536880" w:rsidRPr="00BE150A" w:rsidRDefault="00536880" w:rsidP="00BE150A">
            <w:pPr>
              <w:pStyle w:val="FinancialsTableText"/>
              <w:jc w:val="right"/>
            </w:pPr>
            <w:r w:rsidRPr="00BE150A">
              <w:t xml:space="preserve"> 20,125 </w:t>
            </w:r>
          </w:p>
        </w:tc>
        <w:tc>
          <w:tcPr>
            <w:tcW w:w="1442" w:type="dxa"/>
            <w:tcBorders>
              <w:top w:val="single" w:sz="4" w:space="0" w:color="auto"/>
              <w:bottom w:val="single" w:sz="4" w:space="0" w:color="auto"/>
            </w:tcBorders>
            <w:shd w:val="clear" w:color="auto" w:fill="E6E7E9"/>
          </w:tcPr>
          <w:p w:rsidR="00536880" w:rsidRPr="00BE150A" w:rsidRDefault="00536880" w:rsidP="00BE150A">
            <w:pPr>
              <w:pStyle w:val="FinancialsTableText"/>
              <w:jc w:val="right"/>
            </w:pPr>
            <w:r w:rsidRPr="00BE150A">
              <w:t xml:space="preserve"> 274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financial assets</w:t>
            </w:r>
          </w:p>
        </w:tc>
        <w:tc>
          <w:tcPr>
            <w:tcW w:w="1276" w:type="dxa"/>
            <w:tcBorders>
              <w:top w:val="single" w:sz="4" w:space="0" w:color="auto"/>
              <w:bottom w:val="single" w:sz="4" w:space="0" w:color="auto"/>
            </w:tcBorders>
          </w:tcPr>
          <w:p w:rsidR="00536880" w:rsidRPr="00BE150A" w:rsidRDefault="00536880" w:rsidP="00BE150A">
            <w:pPr>
              <w:pStyle w:val="FinancialsTableText"/>
              <w:jc w:val="center"/>
            </w:pPr>
          </w:p>
        </w:tc>
        <w:tc>
          <w:tcPr>
            <w:tcW w:w="1103" w:type="dxa"/>
            <w:tcBorders>
              <w:top w:val="single" w:sz="4" w:space="0" w:color="auto"/>
              <w:bottom w:val="single" w:sz="4" w:space="0" w:color="auto"/>
            </w:tcBorders>
          </w:tcPr>
          <w:p w:rsidR="00536880" w:rsidRPr="00BE150A" w:rsidRDefault="00536880" w:rsidP="00BE150A">
            <w:pPr>
              <w:pStyle w:val="FinancialsTableText"/>
              <w:jc w:val="right"/>
              <w:rPr>
                <w:b/>
              </w:rPr>
            </w:pPr>
            <w:r w:rsidRPr="00BE150A">
              <w:rPr>
                <w:b/>
              </w:rPr>
              <w:t xml:space="preserve"> 24,607 </w:t>
            </w:r>
          </w:p>
        </w:tc>
        <w:tc>
          <w:tcPr>
            <w:tcW w:w="1484" w:type="dxa"/>
            <w:tcBorders>
              <w:top w:val="single" w:sz="4" w:space="0" w:color="auto"/>
              <w:bottom w:val="single" w:sz="4" w:space="0" w:color="auto"/>
            </w:tcBorders>
          </w:tcPr>
          <w:p w:rsidR="00536880" w:rsidRPr="00BE150A" w:rsidRDefault="00536880" w:rsidP="00BE150A">
            <w:pPr>
              <w:pStyle w:val="FinancialsTableText"/>
              <w:jc w:val="right"/>
            </w:pPr>
            <w:r w:rsidRPr="00BE150A">
              <w:t xml:space="preserve"> 20,438 </w:t>
            </w:r>
          </w:p>
        </w:tc>
        <w:tc>
          <w:tcPr>
            <w:tcW w:w="1442" w:type="dxa"/>
            <w:tcBorders>
              <w:top w:val="single" w:sz="4" w:space="0" w:color="auto"/>
              <w:bottom w:val="single" w:sz="4" w:space="0" w:color="auto"/>
            </w:tcBorders>
            <w:shd w:val="clear" w:color="auto" w:fill="E6E7E9"/>
          </w:tcPr>
          <w:p w:rsidR="00536880" w:rsidRPr="00BE150A" w:rsidRDefault="00536880" w:rsidP="00BE150A">
            <w:pPr>
              <w:pStyle w:val="FinancialsTableText"/>
              <w:jc w:val="right"/>
            </w:pPr>
            <w:r w:rsidRPr="00BE150A">
              <w:t xml:space="preserve"> 274 </w:t>
            </w:r>
          </w:p>
        </w:tc>
      </w:tr>
      <w:tr w:rsidR="00536880" w:rsidRPr="008B164E" w:rsidTr="00DB6B99">
        <w:trPr>
          <w:trHeight w:val="60"/>
        </w:trPr>
        <w:tc>
          <w:tcPr>
            <w:tcW w:w="8399" w:type="dxa"/>
            <w:gridSpan w:val="4"/>
            <w:tcBorders>
              <w:top w:val="single" w:sz="4" w:space="0" w:color="auto"/>
              <w:bottom w:val="single" w:sz="4" w:space="0" w:color="auto"/>
            </w:tcBorders>
          </w:tcPr>
          <w:p w:rsidR="00536880" w:rsidRPr="008B164E" w:rsidRDefault="00536880" w:rsidP="005D1177">
            <w:pPr>
              <w:pStyle w:val="FinancialsTableH2"/>
            </w:pPr>
            <w:r w:rsidRPr="00536880">
              <w:t>Non-financial assets</w:t>
            </w:r>
          </w:p>
        </w:tc>
        <w:tc>
          <w:tcPr>
            <w:tcW w:w="1442" w:type="dxa"/>
            <w:tcBorders>
              <w:top w:val="single" w:sz="4" w:space="0" w:color="auto"/>
              <w:bottom w:val="single" w:sz="4" w:space="0" w:color="auto"/>
            </w:tcBorders>
            <w:shd w:val="clear" w:color="auto" w:fill="E6E7E9"/>
          </w:tcPr>
          <w:p w:rsidR="00536880" w:rsidRPr="008B164E" w:rsidRDefault="00536880" w:rsidP="005D1177">
            <w:pPr>
              <w:pStyle w:val="TableText"/>
              <w:spacing w:before="60" w:after="60" w:line="240" w:lineRule="auto"/>
              <w:jc w:val="right"/>
            </w:pP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Leasehold improvements</w:t>
            </w:r>
          </w:p>
        </w:tc>
        <w:tc>
          <w:tcPr>
            <w:tcW w:w="1276" w:type="dxa"/>
            <w:tcBorders>
              <w:top w:val="single" w:sz="4" w:space="0" w:color="auto"/>
              <w:bottom w:val="single" w:sz="4" w:space="0" w:color="auto"/>
            </w:tcBorders>
          </w:tcPr>
          <w:p w:rsidR="00536880" w:rsidRDefault="00536880" w:rsidP="00536880">
            <w:pPr>
              <w:pStyle w:val="FinancialsTableText"/>
              <w:jc w:val="center"/>
            </w:pPr>
            <w:r>
              <w:t>6A,6D, 7</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596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796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Other property, plant and equipment</w:t>
            </w:r>
          </w:p>
        </w:tc>
        <w:tc>
          <w:tcPr>
            <w:tcW w:w="1276" w:type="dxa"/>
            <w:tcBorders>
              <w:top w:val="single" w:sz="4" w:space="0" w:color="auto"/>
              <w:bottom w:val="single" w:sz="4" w:space="0" w:color="auto"/>
            </w:tcBorders>
          </w:tcPr>
          <w:p w:rsidR="00536880" w:rsidRDefault="00536880" w:rsidP="00536880">
            <w:pPr>
              <w:pStyle w:val="FinancialsTableText"/>
              <w:jc w:val="center"/>
            </w:pPr>
            <w:r>
              <w:t>6B, 6D, 7</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348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264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Intangibles</w:t>
            </w:r>
          </w:p>
        </w:tc>
        <w:tc>
          <w:tcPr>
            <w:tcW w:w="1276" w:type="dxa"/>
            <w:tcBorders>
              <w:top w:val="single" w:sz="4" w:space="0" w:color="auto"/>
              <w:bottom w:val="single" w:sz="4" w:space="0" w:color="auto"/>
            </w:tcBorders>
          </w:tcPr>
          <w:p w:rsidR="00536880" w:rsidRDefault="00536880" w:rsidP="00536880">
            <w:pPr>
              <w:pStyle w:val="FinancialsTableText"/>
              <w:jc w:val="center"/>
            </w:pPr>
            <w:r>
              <w:t>6C, 6D, 7</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410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94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288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Other non-financial assets</w:t>
            </w:r>
          </w:p>
        </w:tc>
        <w:tc>
          <w:tcPr>
            <w:tcW w:w="1276" w:type="dxa"/>
            <w:tcBorders>
              <w:top w:val="single" w:sz="4" w:space="0" w:color="auto"/>
              <w:bottom w:val="single" w:sz="4" w:space="0" w:color="auto"/>
            </w:tcBorders>
          </w:tcPr>
          <w:p w:rsidR="00536880" w:rsidRDefault="00536880" w:rsidP="00536880">
            <w:pPr>
              <w:pStyle w:val="FinancialsTableText"/>
              <w:jc w:val="center"/>
            </w:pPr>
            <w:r>
              <w:t>6E</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48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44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non-financial assets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1,402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1,198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288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assets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26,009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21,636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562 </w:t>
            </w:r>
          </w:p>
        </w:tc>
      </w:tr>
      <w:tr w:rsidR="00536880" w:rsidRPr="008B164E" w:rsidTr="00DB6B99">
        <w:trPr>
          <w:trHeight w:val="60"/>
        </w:trPr>
        <w:tc>
          <w:tcPr>
            <w:tcW w:w="8399" w:type="dxa"/>
            <w:gridSpan w:val="4"/>
            <w:tcBorders>
              <w:top w:val="single" w:sz="4" w:space="0" w:color="auto"/>
              <w:bottom w:val="single" w:sz="4" w:space="0" w:color="auto"/>
            </w:tcBorders>
          </w:tcPr>
          <w:p w:rsidR="00536880" w:rsidRPr="007A7D19" w:rsidRDefault="00536880" w:rsidP="007A7D19">
            <w:pPr>
              <w:pStyle w:val="FinancialsTableH1"/>
            </w:pPr>
            <w:r w:rsidRPr="007A7D19">
              <w:t>Liabilities</w:t>
            </w:r>
          </w:p>
        </w:tc>
        <w:tc>
          <w:tcPr>
            <w:tcW w:w="1442" w:type="dxa"/>
            <w:tcBorders>
              <w:top w:val="single" w:sz="4" w:space="0" w:color="auto"/>
              <w:bottom w:val="single" w:sz="4" w:space="0" w:color="auto"/>
            </w:tcBorders>
            <w:shd w:val="clear" w:color="auto" w:fill="E6E7E9"/>
          </w:tcPr>
          <w:p w:rsidR="00536880" w:rsidRPr="008B164E" w:rsidRDefault="00536880" w:rsidP="005D1177">
            <w:pPr>
              <w:pStyle w:val="TableText"/>
              <w:spacing w:before="60" w:after="60" w:line="240" w:lineRule="auto"/>
              <w:jc w:val="right"/>
            </w:pPr>
          </w:p>
        </w:tc>
      </w:tr>
      <w:tr w:rsidR="00536880" w:rsidRPr="008B164E" w:rsidTr="00DB6B99">
        <w:trPr>
          <w:trHeight w:val="60"/>
        </w:trPr>
        <w:tc>
          <w:tcPr>
            <w:tcW w:w="8399" w:type="dxa"/>
            <w:gridSpan w:val="4"/>
            <w:tcBorders>
              <w:top w:val="single" w:sz="4" w:space="0" w:color="auto"/>
              <w:bottom w:val="single" w:sz="4" w:space="0" w:color="auto"/>
            </w:tcBorders>
          </w:tcPr>
          <w:p w:rsidR="00536880" w:rsidRPr="008B164E" w:rsidRDefault="00536880" w:rsidP="005D1177">
            <w:pPr>
              <w:pStyle w:val="FinancialsTableH2"/>
            </w:pPr>
            <w:r w:rsidRPr="00536880">
              <w:t>Payables</w:t>
            </w:r>
          </w:p>
        </w:tc>
        <w:tc>
          <w:tcPr>
            <w:tcW w:w="1442" w:type="dxa"/>
            <w:tcBorders>
              <w:top w:val="single" w:sz="4" w:space="0" w:color="auto"/>
              <w:bottom w:val="single" w:sz="4" w:space="0" w:color="auto"/>
            </w:tcBorders>
            <w:shd w:val="clear" w:color="auto" w:fill="E6E7E9"/>
          </w:tcPr>
          <w:p w:rsidR="00536880" w:rsidRPr="008B164E" w:rsidRDefault="00536880" w:rsidP="005D1177">
            <w:pPr>
              <w:pStyle w:val="TableText"/>
              <w:spacing w:before="60" w:after="60" w:line="240" w:lineRule="auto"/>
              <w:jc w:val="right"/>
            </w:pP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Suppliers</w:t>
            </w:r>
          </w:p>
        </w:tc>
        <w:tc>
          <w:tcPr>
            <w:tcW w:w="1276" w:type="dxa"/>
            <w:tcBorders>
              <w:top w:val="single" w:sz="4" w:space="0" w:color="auto"/>
              <w:bottom w:val="single" w:sz="4" w:space="0" w:color="auto"/>
            </w:tcBorders>
          </w:tcPr>
          <w:p w:rsidR="00536880" w:rsidRDefault="00536880" w:rsidP="00536880">
            <w:pPr>
              <w:pStyle w:val="FinancialsTableText"/>
              <w:jc w:val="center"/>
            </w:pPr>
            <w:r>
              <w:t>8A</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3,892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376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2,151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Other payables</w:t>
            </w:r>
          </w:p>
        </w:tc>
        <w:tc>
          <w:tcPr>
            <w:tcW w:w="1276" w:type="dxa"/>
            <w:tcBorders>
              <w:top w:val="single" w:sz="4" w:space="0" w:color="auto"/>
              <w:bottom w:val="single" w:sz="4" w:space="0" w:color="auto"/>
            </w:tcBorders>
          </w:tcPr>
          <w:p w:rsidR="00536880" w:rsidRDefault="00536880" w:rsidP="00536880">
            <w:pPr>
              <w:pStyle w:val="FinancialsTableText"/>
              <w:jc w:val="center"/>
            </w:pPr>
            <w:r>
              <w:t>8B</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688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731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38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payables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4,580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1,107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2,189 </w:t>
            </w:r>
          </w:p>
        </w:tc>
      </w:tr>
      <w:tr w:rsidR="00536880" w:rsidRPr="008B164E" w:rsidTr="00DB6B99">
        <w:trPr>
          <w:trHeight w:val="60"/>
        </w:trPr>
        <w:tc>
          <w:tcPr>
            <w:tcW w:w="8399" w:type="dxa"/>
            <w:gridSpan w:val="4"/>
            <w:tcBorders>
              <w:top w:val="single" w:sz="4" w:space="0" w:color="auto"/>
              <w:bottom w:val="single" w:sz="4" w:space="0" w:color="auto"/>
            </w:tcBorders>
          </w:tcPr>
          <w:p w:rsidR="00536880" w:rsidRPr="008B164E" w:rsidRDefault="00536880" w:rsidP="00536880">
            <w:pPr>
              <w:pStyle w:val="FinancialsTableH2"/>
            </w:pPr>
            <w:r w:rsidRPr="00536880">
              <w:t>Provisions</w:t>
            </w:r>
          </w:p>
        </w:tc>
        <w:tc>
          <w:tcPr>
            <w:tcW w:w="1442" w:type="dxa"/>
            <w:tcBorders>
              <w:top w:val="single" w:sz="4" w:space="0" w:color="auto"/>
              <w:bottom w:val="single" w:sz="4" w:space="0" w:color="auto"/>
            </w:tcBorders>
            <w:shd w:val="clear" w:color="auto" w:fill="E6E7E9"/>
          </w:tcPr>
          <w:p w:rsidR="00536880" w:rsidRPr="008B164E" w:rsidRDefault="00536880" w:rsidP="005D1177">
            <w:pPr>
              <w:pStyle w:val="TableText"/>
              <w:spacing w:before="60" w:after="60" w:line="240" w:lineRule="auto"/>
              <w:jc w:val="right"/>
            </w:pP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Employee provisions</w:t>
            </w:r>
          </w:p>
        </w:tc>
        <w:tc>
          <w:tcPr>
            <w:tcW w:w="1276" w:type="dxa"/>
            <w:tcBorders>
              <w:top w:val="single" w:sz="4" w:space="0" w:color="auto"/>
              <w:bottom w:val="single" w:sz="4" w:space="0" w:color="auto"/>
            </w:tcBorders>
          </w:tcPr>
          <w:p w:rsidR="00536880" w:rsidRDefault="00536880" w:rsidP="00536880">
            <w:pPr>
              <w:pStyle w:val="FinancialsTableText"/>
              <w:jc w:val="center"/>
            </w:pPr>
            <w:r>
              <w:t>9A</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1,140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849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C80951">
            <w:pPr>
              <w:pStyle w:val="FinancialsTableTextIndented"/>
            </w:pPr>
            <w:r>
              <w:t>Other provisions</w:t>
            </w:r>
          </w:p>
        </w:tc>
        <w:tc>
          <w:tcPr>
            <w:tcW w:w="1276" w:type="dxa"/>
            <w:tcBorders>
              <w:top w:val="single" w:sz="4" w:space="0" w:color="auto"/>
              <w:bottom w:val="single" w:sz="4" w:space="0" w:color="auto"/>
            </w:tcBorders>
          </w:tcPr>
          <w:p w:rsidR="00536880" w:rsidRDefault="00536880" w:rsidP="00536880">
            <w:pPr>
              <w:pStyle w:val="FinancialsTableText"/>
              <w:jc w:val="center"/>
            </w:pPr>
            <w:r>
              <w:t>9B</w:t>
            </w: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162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162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 xml:space="preserve">Total provisions </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1,302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1,011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liabilities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5,882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2,118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2,189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Net assets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20,127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19,518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(1,627)</w:t>
            </w:r>
          </w:p>
        </w:tc>
      </w:tr>
      <w:tr w:rsidR="00536880" w:rsidRPr="008B164E" w:rsidTr="00DB6B99">
        <w:trPr>
          <w:trHeight w:val="60"/>
        </w:trPr>
        <w:tc>
          <w:tcPr>
            <w:tcW w:w="8399" w:type="dxa"/>
            <w:gridSpan w:val="4"/>
            <w:tcBorders>
              <w:top w:val="single" w:sz="4" w:space="0" w:color="auto"/>
              <w:bottom w:val="single" w:sz="4" w:space="0" w:color="auto"/>
            </w:tcBorders>
          </w:tcPr>
          <w:p w:rsidR="00536880" w:rsidRPr="007A7D19" w:rsidRDefault="00536880" w:rsidP="007A7D19">
            <w:pPr>
              <w:pStyle w:val="FinancialsTableH1"/>
            </w:pPr>
            <w:r w:rsidRPr="00536880">
              <w:t>Equity</w:t>
            </w:r>
          </w:p>
        </w:tc>
        <w:tc>
          <w:tcPr>
            <w:tcW w:w="1442" w:type="dxa"/>
            <w:tcBorders>
              <w:top w:val="single" w:sz="4" w:space="0" w:color="auto"/>
              <w:bottom w:val="single" w:sz="4" w:space="0" w:color="auto"/>
            </w:tcBorders>
            <w:shd w:val="clear" w:color="auto" w:fill="E6E7E9"/>
          </w:tcPr>
          <w:p w:rsidR="00536880" w:rsidRPr="008B164E" w:rsidRDefault="00536880" w:rsidP="005D1177">
            <w:pPr>
              <w:pStyle w:val="TableText"/>
              <w:spacing w:before="60" w:after="60" w:line="240" w:lineRule="auto"/>
              <w:jc w:val="right"/>
            </w:pP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536880">
            <w:pPr>
              <w:pStyle w:val="FinancialsTableTextIndented"/>
            </w:pPr>
            <w:r>
              <w:t>Contributed equity</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400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400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536880">
            <w:pPr>
              <w:pStyle w:val="FinancialsTableTextIndented"/>
            </w:pPr>
            <w:r>
              <w:t>Asset revaluation reserves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16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16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Default="00536880" w:rsidP="00536880">
            <w:pPr>
              <w:pStyle w:val="FinancialsTableTextIndented"/>
            </w:pPr>
            <w:r>
              <w:t>Retained surplus</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19,711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19,102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r w:rsidR="00536880" w:rsidRPr="008B164E" w:rsidTr="00DB6B99">
        <w:trPr>
          <w:trHeight w:val="60"/>
        </w:trPr>
        <w:tc>
          <w:tcPr>
            <w:tcW w:w="4536" w:type="dxa"/>
            <w:tcBorders>
              <w:top w:val="single" w:sz="4" w:space="0" w:color="auto"/>
              <w:bottom w:val="single" w:sz="4" w:space="0" w:color="auto"/>
            </w:tcBorders>
          </w:tcPr>
          <w:p w:rsidR="00536880" w:rsidRPr="00C80951" w:rsidRDefault="00536880" w:rsidP="00536880">
            <w:pPr>
              <w:pStyle w:val="FinancialsTableText"/>
              <w:rPr>
                <w:b/>
              </w:rPr>
            </w:pPr>
            <w:r w:rsidRPr="00C80951">
              <w:rPr>
                <w:b/>
              </w:rPr>
              <w:t>Total equity</w:t>
            </w:r>
          </w:p>
        </w:tc>
        <w:tc>
          <w:tcPr>
            <w:tcW w:w="1276" w:type="dxa"/>
            <w:tcBorders>
              <w:top w:val="single" w:sz="4" w:space="0" w:color="auto"/>
              <w:bottom w:val="single" w:sz="4" w:space="0" w:color="auto"/>
            </w:tcBorders>
          </w:tcPr>
          <w:p w:rsidR="00536880" w:rsidRDefault="00536880" w:rsidP="00536880">
            <w:pPr>
              <w:pStyle w:val="FinancialsTableText"/>
              <w:jc w:val="center"/>
            </w:pPr>
          </w:p>
        </w:tc>
        <w:tc>
          <w:tcPr>
            <w:tcW w:w="1103" w:type="dxa"/>
            <w:tcBorders>
              <w:top w:val="single" w:sz="4" w:space="0" w:color="auto"/>
              <w:bottom w:val="single" w:sz="4" w:space="0" w:color="auto"/>
            </w:tcBorders>
          </w:tcPr>
          <w:p w:rsidR="00536880" w:rsidRPr="00536880" w:rsidRDefault="00536880" w:rsidP="00536880">
            <w:pPr>
              <w:pStyle w:val="FinancialsTableText"/>
              <w:jc w:val="right"/>
              <w:rPr>
                <w:b/>
              </w:rPr>
            </w:pPr>
            <w:r w:rsidRPr="00536880">
              <w:rPr>
                <w:b/>
              </w:rPr>
              <w:t xml:space="preserve"> 20,127 </w:t>
            </w:r>
          </w:p>
        </w:tc>
        <w:tc>
          <w:tcPr>
            <w:tcW w:w="1484" w:type="dxa"/>
            <w:tcBorders>
              <w:top w:val="single" w:sz="4" w:space="0" w:color="auto"/>
              <w:bottom w:val="single" w:sz="4" w:space="0" w:color="auto"/>
            </w:tcBorders>
          </w:tcPr>
          <w:p w:rsidR="00536880" w:rsidRDefault="00536880" w:rsidP="00536880">
            <w:pPr>
              <w:pStyle w:val="FinancialsTableText"/>
              <w:jc w:val="right"/>
            </w:pPr>
            <w:r>
              <w:t xml:space="preserve"> 19,518 </w:t>
            </w:r>
          </w:p>
        </w:tc>
        <w:tc>
          <w:tcPr>
            <w:tcW w:w="1442" w:type="dxa"/>
            <w:tcBorders>
              <w:top w:val="single" w:sz="4" w:space="0" w:color="auto"/>
              <w:bottom w:val="single" w:sz="4" w:space="0" w:color="auto"/>
            </w:tcBorders>
            <w:shd w:val="clear" w:color="auto" w:fill="E6E7E9"/>
          </w:tcPr>
          <w:p w:rsidR="00536880" w:rsidRDefault="00536880" w:rsidP="00536880">
            <w:pPr>
              <w:pStyle w:val="FinancialsTableText"/>
              <w:jc w:val="right"/>
            </w:pPr>
            <w:r>
              <w:t xml:space="preserve"> – </w:t>
            </w:r>
          </w:p>
        </w:tc>
      </w:tr>
    </w:tbl>
    <w:p w:rsidR="00425FBA" w:rsidRDefault="00425FBA" w:rsidP="00425FBA">
      <w:pPr>
        <w:pStyle w:val="SourceNotesText"/>
        <w:rPr>
          <w:lang w:val="en-GB"/>
        </w:rPr>
      </w:pPr>
      <w:r w:rsidRPr="00425FBA">
        <w:rPr>
          <w:lang w:val="en-GB"/>
        </w:rPr>
        <w:t>The above statement should be read in conjunction with the accompanying notes</w:t>
      </w:r>
    </w:p>
    <w:p w:rsidR="004B5555" w:rsidRDefault="004B5555" w:rsidP="00425FBA">
      <w:pPr>
        <w:pStyle w:val="SourceNotesText"/>
        <w:rPr>
          <w:lang w:val="en-GB"/>
        </w:rPr>
      </w:pPr>
      <w:r>
        <w:rPr>
          <w:lang w:val="en-GB"/>
        </w:rPr>
        <w:br w:type="page"/>
      </w:r>
    </w:p>
    <w:p w:rsidR="00993D8C" w:rsidRPr="00425FBA" w:rsidRDefault="00993D8C" w:rsidP="00993D8C">
      <w:pPr>
        <w:pStyle w:val="FinancialsH2"/>
        <w:spacing w:before="0"/>
        <w:rPr>
          <w:lang w:val="en-GB"/>
        </w:rPr>
      </w:pPr>
      <w:bookmarkStart w:id="20" w:name="_Toc433193200"/>
      <w:r w:rsidRPr="00425FBA">
        <w:rPr>
          <w:lang w:val="en-GB"/>
        </w:rPr>
        <w:lastRenderedPageBreak/>
        <w:t>Statement of changes in equity</w:t>
      </w:r>
      <w:bookmarkEnd w:id="20"/>
    </w:p>
    <w:p w:rsidR="00993D8C" w:rsidRDefault="00993D8C" w:rsidP="00993D8C">
      <w:pPr>
        <w:spacing w:before="0" w:after="0"/>
      </w:pPr>
      <w:r w:rsidRPr="00425FBA">
        <w:rPr>
          <w:lang w:val="en-GB"/>
        </w:rPr>
        <w:t>for the year ended 30 June 2015</w:t>
      </w:r>
    </w:p>
    <w:tbl>
      <w:tblPr>
        <w:tblStyle w:val="DefaultTable"/>
        <w:tblW w:w="9869" w:type="dxa"/>
        <w:tblLayout w:type="fixed"/>
        <w:tblLook w:val="0220" w:firstRow="1" w:lastRow="0" w:firstColumn="0" w:lastColumn="0" w:noHBand="1" w:noVBand="0"/>
        <w:tblDescription w:val="Statement of changes in equity for the year ended 30 June 2015"/>
      </w:tblPr>
      <w:tblGrid>
        <w:gridCol w:w="3318"/>
        <w:gridCol w:w="818"/>
        <w:gridCol w:w="819"/>
        <w:gridCol w:w="819"/>
        <w:gridCol w:w="819"/>
        <w:gridCol w:w="819"/>
        <w:gridCol w:w="819"/>
        <w:gridCol w:w="819"/>
        <w:gridCol w:w="819"/>
      </w:tblGrid>
      <w:tr w:rsidR="004B5555" w:rsidRPr="00232B97" w:rsidTr="004B5555">
        <w:trPr>
          <w:cnfStyle w:val="100000000000" w:firstRow="1" w:lastRow="0" w:firstColumn="0" w:lastColumn="0" w:oddVBand="0" w:evenVBand="0" w:oddHBand="0" w:evenHBand="0" w:firstRowFirstColumn="0" w:firstRowLastColumn="0" w:lastRowFirstColumn="0" w:lastRowLastColumn="0"/>
          <w:trHeight w:val="60"/>
        </w:trPr>
        <w:tc>
          <w:tcPr>
            <w:tcW w:w="3318" w:type="dxa"/>
            <w:vMerge w:val="restart"/>
            <w:tcBorders>
              <w:bottom w:val="single" w:sz="4" w:space="0" w:color="auto"/>
              <w:right w:val="nil"/>
            </w:tcBorders>
          </w:tcPr>
          <w:p w:rsidR="004B5555" w:rsidRPr="00232B97" w:rsidRDefault="004B5555" w:rsidP="005D1177">
            <w:pPr>
              <w:pStyle w:val="FinancialsTableText"/>
            </w:pPr>
          </w:p>
        </w:tc>
        <w:tc>
          <w:tcPr>
            <w:tcW w:w="1637" w:type="dxa"/>
            <w:gridSpan w:val="2"/>
            <w:tcBorders>
              <w:left w:val="nil"/>
              <w:bottom w:val="single" w:sz="4" w:space="0" w:color="auto"/>
            </w:tcBorders>
          </w:tcPr>
          <w:p w:rsidR="004B5555" w:rsidRPr="00232B97" w:rsidRDefault="004B5555" w:rsidP="005D1177">
            <w:pPr>
              <w:pStyle w:val="FinancialsTableText"/>
              <w:jc w:val="center"/>
            </w:pPr>
            <w:r w:rsidRPr="00232B97">
              <w:t>Retained earnings</w:t>
            </w:r>
          </w:p>
        </w:tc>
        <w:tc>
          <w:tcPr>
            <w:tcW w:w="1638" w:type="dxa"/>
            <w:gridSpan w:val="2"/>
            <w:tcBorders>
              <w:bottom w:val="single" w:sz="4" w:space="0" w:color="auto"/>
            </w:tcBorders>
          </w:tcPr>
          <w:p w:rsidR="004B5555" w:rsidRPr="00232B97" w:rsidRDefault="004B5555" w:rsidP="004B5555">
            <w:pPr>
              <w:pStyle w:val="FinancialsTableText"/>
              <w:jc w:val="center"/>
            </w:pPr>
            <w:r w:rsidRPr="00232B97">
              <w:t>Asset revaluation surplus</w:t>
            </w:r>
          </w:p>
        </w:tc>
        <w:tc>
          <w:tcPr>
            <w:tcW w:w="1638" w:type="dxa"/>
            <w:gridSpan w:val="2"/>
            <w:tcBorders>
              <w:bottom w:val="single" w:sz="4" w:space="0" w:color="auto"/>
            </w:tcBorders>
          </w:tcPr>
          <w:p w:rsidR="004B5555" w:rsidRPr="00232B97" w:rsidRDefault="004B5555" w:rsidP="004B5555">
            <w:pPr>
              <w:pStyle w:val="FinancialsTableText"/>
              <w:jc w:val="center"/>
            </w:pPr>
            <w:r w:rsidRPr="00232B97">
              <w:t>Contributed equity/capital</w:t>
            </w:r>
          </w:p>
        </w:tc>
        <w:tc>
          <w:tcPr>
            <w:tcW w:w="1638" w:type="dxa"/>
            <w:gridSpan w:val="2"/>
            <w:tcBorders>
              <w:bottom w:val="single" w:sz="4" w:space="0" w:color="auto"/>
            </w:tcBorders>
          </w:tcPr>
          <w:p w:rsidR="004B5555" w:rsidRPr="00232B97" w:rsidRDefault="004B5555" w:rsidP="005D1177">
            <w:pPr>
              <w:pStyle w:val="FinancialsTableText"/>
              <w:jc w:val="center"/>
            </w:pPr>
            <w:r w:rsidRPr="00232B97">
              <w:t>Total equity</w:t>
            </w:r>
          </w:p>
        </w:tc>
      </w:tr>
      <w:tr w:rsidR="004B5555" w:rsidRPr="00232B97" w:rsidTr="004B5555">
        <w:trPr>
          <w:trHeight w:val="60"/>
        </w:trPr>
        <w:tc>
          <w:tcPr>
            <w:tcW w:w="3318" w:type="dxa"/>
            <w:vMerge/>
            <w:tcBorders>
              <w:top w:val="single" w:sz="4" w:space="0" w:color="auto"/>
              <w:bottom w:val="single" w:sz="4" w:space="0" w:color="auto"/>
              <w:right w:val="nil"/>
            </w:tcBorders>
          </w:tcPr>
          <w:p w:rsidR="004B5555" w:rsidRPr="00232B97" w:rsidRDefault="004B5555" w:rsidP="005D1177">
            <w:pPr>
              <w:pStyle w:val="FinancialsTableText"/>
            </w:pPr>
          </w:p>
        </w:tc>
        <w:tc>
          <w:tcPr>
            <w:tcW w:w="818" w:type="dxa"/>
            <w:tcBorders>
              <w:top w:val="single" w:sz="4" w:space="0" w:color="auto"/>
              <w:left w:val="nil"/>
              <w:bottom w:val="single" w:sz="4" w:space="0" w:color="auto"/>
            </w:tcBorders>
          </w:tcPr>
          <w:p w:rsidR="004B5555" w:rsidRPr="00232B97" w:rsidRDefault="004B5555" w:rsidP="005D1177">
            <w:pPr>
              <w:pStyle w:val="FinancialsTableText"/>
              <w:jc w:val="right"/>
              <w:rPr>
                <w:b/>
              </w:rPr>
            </w:pPr>
            <w:r w:rsidRPr="00232B97">
              <w:rPr>
                <w:b/>
              </w:rPr>
              <w:t>2015</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Pr>
                <w:b/>
              </w:rPr>
              <w:t>2014</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sidRPr="00232B97">
              <w:rPr>
                <w:b/>
              </w:rPr>
              <w:t>2015</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Pr>
                <w:b/>
              </w:rPr>
              <w:t>2014</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sidRPr="00232B97">
              <w:rPr>
                <w:b/>
              </w:rPr>
              <w:t>2015</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Pr>
                <w:b/>
              </w:rPr>
              <w:t>2014</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sidRPr="00232B97">
              <w:rPr>
                <w:b/>
              </w:rPr>
              <w:t>2015</w:t>
            </w:r>
            <w:r>
              <w:rPr>
                <w:b/>
              </w:rPr>
              <w:br/>
            </w:r>
            <w:r w:rsidRPr="00232B97">
              <w:t>$’000</w:t>
            </w:r>
          </w:p>
        </w:tc>
        <w:tc>
          <w:tcPr>
            <w:tcW w:w="819" w:type="dxa"/>
            <w:tcBorders>
              <w:top w:val="single" w:sz="4" w:space="0" w:color="auto"/>
              <w:bottom w:val="single" w:sz="4" w:space="0" w:color="auto"/>
            </w:tcBorders>
          </w:tcPr>
          <w:p w:rsidR="004B5555" w:rsidRPr="00232B97" w:rsidRDefault="004B5555" w:rsidP="005D1177">
            <w:pPr>
              <w:pStyle w:val="FinancialsTableText"/>
              <w:jc w:val="right"/>
              <w:rPr>
                <w:b/>
              </w:rPr>
            </w:pPr>
            <w:r>
              <w:rPr>
                <w:b/>
              </w:rPr>
              <w:t>2014</w:t>
            </w:r>
            <w:r>
              <w:rPr>
                <w:b/>
              </w:rPr>
              <w:br/>
            </w:r>
            <w:r w:rsidRPr="00232B97">
              <w:t>$’000</w:t>
            </w:r>
          </w:p>
        </w:tc>
      </w:tr>
      <w:tr w:rsidR="004B5555" w:rsidRPr="00232B97" w:rsidTr="004B5555">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H2"/>
            </w:pPr>
            <w:r w:rsidRPr="00232B97">
              <w:t>Opening balance</w:t>
            </w:r>
          </w:p>
        </w:tc>
        <w:tc>
          <w:tcPr>
            <w:tcW w:w="818"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right w:val="nil"/>
            </w:tcBorders>
          </w:tcPr>
          <w:p w:rsidR="004B5555" w:rsidRPr="00232B97" w:rsidRDefault="004B5555" w:rsidP="005D1177">
            <w:pPr>
              <w:pStyle w:val="FinancialsTableText"/>
              <w:jc w:val="right"/>
            </w:pPr>
          </w:p>
        </w:tc>
        <w:tc>
          <w:tcPr>
            <w:tcW w:w="819" w:type="dxa"/>
            <w:tcBorders>
              <w:top w:val="single" w:sz="4" w:space="0" w:color="auto"/>
              <w:left w:val="nil"/>
              <w:bottom w:val="single" w:sz="4" w:space="0" w:color="auto"/>
            </w:tcBorders>
          </w:tcPr>
          <w:p w:rsidR="004B5555" w:rsidRPr="00232B97" w:rsidRDefault="004B5555" w:rsidP="005D1177">
            <w:pPr>
              <w:pStyle w:val="FinancialsTableText"/>
              <w:jc w:val="right"/>
            </w:pP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Balance carried forward from previous period</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19,102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15,496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16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400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200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19,518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15,696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
              <w:rPr>
                <w:b/>
              </w:rPr>
            </w:pPr>
            <w:r w:rsidRPr="00232B97">
              <w:rPr>
                <w:b/>
              </w:rPr>
              <w:t>Adjusted opening balance</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19,102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15,496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16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400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200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19,518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15,696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H2"/>
            </w:pPr>
            <w:r w:rsidRPr="00232B97">
              <w:t>Comprehensive income</w:t>
            </w:r>
          </w:p>
        </w:tc>
        <w:tc>
          <w:tcPr>
            <w:tcW w:w="818"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tcBorders>
            <w:vAlign w:val="center"/>
          </w:tcPr>
          <w:p w:rsidR="004B5555" w:rsidRPr="00232B97" w:rsidRDefault="004B5555" w:rsidP="004B5555">
            <w:pPr>
              <w:pStyle w:val="FinancialsTableText"/>
              <w:jc w:val="right"/>
            </w:pPr>
          </w:p>
        </w:tc>
      </w:tr>
      <w:tr w:rsidR="004B5555" w:rsidRPr="00232B97" w:rsidTr="004B5555">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Surplus for the period</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3,746</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3,606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3,746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3,606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Other comprehensive income (revaluation of leasehold assets)</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16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16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
              <w:rPr>
                <w:b/>
              </w:rPr>
            </w:pPr>
            <w:r w:rsidRPr="00232B97">
              <w:rPr>
                <w:b/>
              </w:rPr>
              <w:t>Total comprehensive income</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3,746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3,606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16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3,746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3,622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H2"/>
            </w:pPr>
            <w:r w:rsidRPr="00232B97">
              <w:t>Transactions with owners</w:t>
            </w:r>
          </w:p>
        </w:tc>
        <w:tc>
          <w:tcPr>
            <w:tcW w:w="818"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right w:val="nil"/>
            </w:tcBorders>
            <w:vAlign w:val="center"/>
          </w:tcPr>
          <w:p w:rsidR="004B5555" w:rsidRPr="00232B97" w:rsidRDefault="004B5555" w:rsidP="004B5555">
            <w:pPr>
              <w:pStyle w:val="FinancialsTableText"/>
              <w:jc w:val="right"/>
            </w:pPr>
          </w:p>
        </w:tc>
        <w:tc>
          <w:tcPr>
            <w:tcW w:w="819" w:type="dxa"/>
            <w:tcBorders>
              <w:top w:val="single" w:sz="4" w:space="0" w:color="auto"/>
              <w:left w:val="nil"/>
              <w:bottom w:val="single" w:sz="4" w:space="0" w:color="auto"/>
              <w:right w:val="nil"/>
            </w:tcBorders>
            <w:vAlign w:val="center"/>
          </w:tcPr>
          <w:p w:rsidR="004B5555" w:rsidRPr="00771D7D" w:rsidRDefault="004B5555" w:rsidP="004B5555">
            <w:pPr>
              <w:pStyle w:val="FinancialsTableText"/>
              <w:jc w:val="right"/>
              <w:rPr>
                <w:b/>
              </w:rPr>
            </w:pPr>
          </w:p>
        </w:tc>
        <w:tc>
          <w:tcPr>
            <w:tcW w:w="819" w:type="dxa"/>
            <w:tcBorders>
              <w:top w:val="single" w:sz="4" w:space="0" w:color="auto"/>
              <w:left w:val="nil"/>
              <w:bottom w:val="single" w:sz="4" w:space="0" w:color="auto"/>
            </w:tcBorders>
            <w:vAlign w:val="center"/>
          </w:tcPr>
          <w:p w:rsidR="004B5555" w:rsidRPr="00232B97" w:rsidRDefault="004B5555" w:rsidP="004B5555">
            <w:pPr>
              <w:pStyle w:val="FinancialsTableText"/>
              <w:jc w:val="right"/>
            </w:pPr>
          </w:p>
        </w:tc>
      </w:tr>
      <w:tr w:rsidR="004B5555" w:rsidRPr="00232B97" w:rsidTr="004B5555">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Extinguishment of appropriations</w:t>
            </w:r>
            <w:r w:rsidRPr="00232B97">
              <w:rPr>
                <w:vertAlign w:val="superscript"/>
              </w:rPr>
              <w:t>1</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(3,651)</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(3,651)</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r>
      <w:tr w:rsidR="004B5555" w:rsidRPr="00232B97" w:rsidTr="004B5555">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 xml:space="preserve">Contribution to settle prior </w:t>
            </w:r>
            <w:r w:rsidR="00E40F7B">
              <w:br/>
            </w:r>
            <w:r w:rsidRPr="00232B97">
              <w:t>period administrative accruals</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 514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514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r>
      <w:tr w:rsidR="004B5555" w:rsidRPr="00232B97" w:rsidTr="004B5555">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Contributions by owners</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Indented"/>
            </w:pPr>
            <w:r w:rsidRPr="00232B97">
              <w:t>Departmental capital budget</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200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200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
              <w:rPr>
                <w:b/>
              </w:rPr>
            </w:pPr>
            <w:r w:rsidRPr="00232B97">
              <w:rPr>
                <w:b/>
              </w:rPr>
              <w:t>Total transactions with owners</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(3,137)</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 –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200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(3,137)</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 200 </w:t>
            </w:r>
          </w:p>
        </w:tc>
      </w:tr>
      <w:tr w:rsidR="004B5555" w:rsidRPr="00232B97" w:rsidTr="0069072B">
        <w:trPr>
          <w:trHeight w:val="60"/>
        </w:trPr>
        <w:tc>
          <w:tcPr>
            <w:tcW w:w="3318" w:type="dxa"/>
            <w:tcBorders>
              <w:top w:val="single" w:sz="4" w:space="0" w:color="auto"/>
              <w:bottom w:val="single" w:sz="4" w:space="0" w:color="auto"/>
              <w:right w:val="nil"/>
            </w:tcBorders>
          </w:tcPr>
          <w:p w:rsidR="004B5555" w:rsidRPr="00232B97" w:rsidRDefault="004B5555" w:rsidP="005D1177">
            <w:pPr>
              <w:pStyle w:val="FinancialsTableText"/>
              <w:rPr>
                <w:b/>
              </w:rPr>
            </w:pPr>
            <w:r w:rsidRPr="00232B97">
              <w:rPr>
                <w:b/>
              </w:rPr>
              <w:t>Closing balance as at 30 June</w:t>
            </w:r>
          </w:p>
        </w:tc>
        <w:tc>
          <w:tcPr>
            <w:tcW w:w="818" w:type="dxa"/>
            <w:tcBorders>
              <w:top w:val="single" w:sz="4" w:space="0" w:color="auto"/>
              <w:left w:val="nil"/>
              <w:bottom w:val="single" w:sz="4" w:space="0" w:color="auto"/>
            </w:tcBorders>
            <w:vAlign w:val="center"/>
          </w:tcPr>
          <w:p w:rsidR="004B5555" w:rsidRPr="00771D7D" w:rsidRDefault="004B5555" w:rsidP="004B5555">
            <w:pPr>
              <w:pStyle w:val="FinancialsTableText"/>
              <w:jc w:val="right"/>
              <w:rPr>
                <w:b/>
              </w:rPr>
            </w:pPr>
            <w:r w:rsidRPr="00771D7D">
              <w:rPr>
                <w:b/>
              </w:rPr>
              <w:t>19,711</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19,102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16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16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400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 xml:space="preserve">400 </w:t>
            </w:r>
          </w:p>
        </w:tc>
        <w:tc>
          <w:tcPr>
            <w:tcW w:w="819" w:type="dxa"/>
            <w:tcBorders>
              <w:top w:val="single" w:sz="4" w:space="0" w:color="auto"/>
              <w:bottom w:val="single" w:sz="4" w:space="0" w:color="auto"/>
            </w:tcBorders>
            <w:vAlign w:val="center"/>
          </w:tcPr>
          <w:p w:rsidR="004B5555" w:rsidRPr="00771D7D" w:rsidRDefault="004B5555" w:rsidP="004B5555">
            <w:pPr>
              <w:pStyle w:val="FinancialsTableText"/>
              <w:jc w:val="right"/>
              <w:rPr>
                <w:b/>
              </w:rPr>
            </w:pPr>
            <w:r w:rsidRPr="00771D7D">
              <w:rPr>
                <w:b/>
              </w:rPr>
              <w:t xml:space="preserve">20,127 </w:t>
            </w:r>
          </w:p>
        </w:tc>
        <w:tc>
          <w:tcPr>
            <w:tcW w:w="819" w:type="dxa"/>
            <w:tcBorders>
              <w:top w:val="single" w:sz="4" w:space="0" w:color="auto"/>
              <w:bottom w:val="single" w:sz="4" w:space="0" w:color="auto"/>
            </w:tcBorders>
            <w:vAlign w:val="center"/>
          </w:tcPr>
          <w:p w:rsidR="004B5555" w:rsidRPr="00232B97" w:rsidRDefault="004B5555" w:rsidP="004B5555">
            <w:pPr>
              <w:pStyle w:val="FinancialsTableText"/>
              <w:jc w:val="right"/>
            </w:pPr>
            <w:r w:rsidRPr="00232B97">
              <w:t>19,518</w:t>
            </w:r>
          </w:p>
        </w:tc>
      </w:tr>
    </w:tbl>
    <w:p w:rsidR="00993D8C" w:rsidRPr="00425FBA" w:rsidRDefault="00993D8C" w:rsidP="00993D8C">
      <w:pPr>
        <w:pStyle w:val="SourceNotesText"/>
        <w:spacing w:after="0"/>
        <w:rPr>
          <w:b/>
          <w:lang w:val="en-GB"/>
        </w:rPr>
      </w:pPr>
      <w:r w:rsidRPr="00425FBA">
        <w:rPr>
          <w:b/>
          <w:lang w:val="en-GB"/>
        </w:rPr>
        <w:t>Note</w:t>
      </w:r>
    </w:p>
    <w:p w:rsidR="00993D8C" w:rsidRPr="00425FBA" w:rsidRDefault="00993D8C" w:rsidP="00993D8C">
      <w:pPr>
        <w:pStyle w:val="SourceNotesText"/>
        <w:spacing w:before="0"/>
        <w:rPr>
          <w:i/>
          <w:iCs/>
          <w:lang w:val="en-GB"/>
        </w:rPr>
      </w:pPr>
      <w:r w:rsidRPr="00425FBA">
        <w:rPr>
          <w:lang w:val="en-GB"/>
        </w:rPr>
        <w:t xml:space="preserve">1. </w:t>
      </w:r>
      <w:r w:rsidRPr="00425FBA">
        <w:rPr>
          <w:i/>
          <w:iCs/>
          <w:lang w:val="en-GB"/>
        </w:rPr>
        <w:t>Omnibus Repeal Day Act 2014</w:t>
      </w:r>
      <w:r w:rsidR="00761DBF">
        <w:rPr>
          <w:lang w:val="en-GB"/>
        </w:rPr>
        <w:t>.</w:t>
      </w:r>
    </w:p>
    <w:p w:rsidR="00993D8C" w:rsidRPr="00425FBA" w:rsidRDefault="00993D8C" w:rsidP="00993D8C">
      <w:pPr>
        <w:pStyle w:val="SourceNotesText"/>
        <w:rPr>
          <w:lang w:val="en-GB"/>
        </w:rPr>
      </w:pPr>
      <w:r w:rsidRPr="00425FBA">
        <w:rPr>
          <w:i/>
          <w:iCs/>
          <w:lang w:val="en-GB"/>
        </w:rPr>
        <w:t>The above statement should be read in conjunction with the accompanying notes</w:t>
      </w:r>
    </w:p>
    <w:p w:rsidR="00990B9B" w:rsidRDefault="00990B9B" w:rsidP="00A33C95">
      <w:pPr>
        <w:pStyle w:val="FinancialsH2"/>
        <w:spacing w:before="0"/>
      </w:pPr>
      <w:r>
        <w:br w:type="page"/>
      </w:r>
    </w:p>
    <w:p w:rsidR="00A33C95" w:rsidRDefault="00A33C95" w:rsidP="00A33C95">
      <w:pPr>
        <w:pStyle w:val="FinancialsH2"/>
        <w:spacing w:before="0"/>
      </w:pPr>
      <w:bookmarkStart w:id="21" w:name="_Toc433193201"/>
      <w:r>
        <w:lastRenderedPageBreak/>
        <w:t>Cash flow statement</w:t>
      </w:r>
      <w:bookmarkEnd w:id="21"/>
    </w:p>
    <w:p w:rsidR="00A33C95" w:rsidRDefault="00A33C95" w:rsidP="00761DBF">
      <w:pPr>
        <w:spacing w:before="0" w:after="0"/>
      </w:pPr>
      <w:r>
        <w:t>for the year ended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Cash flow statement for the year ended 30 June 2015"/>
      </w:tblPr>
      <w:tblGrid>
        <w:gridCol w:w="4536"/>
        <w:gridCol w:w="1276"/>
        <w:gridCol w:w="1103"/>
        <w:gridCol w:w="1484"/>
        <w:gridCol w:w="1442"/>
      </w:tblGrid>
      <w:tr w:rsidR="00761DBF" w:rsidRPr="008B164E" w:rsidTr="00F618C4">
        <w:trPr>
          <w:cnfStyle w:val="100000000000" w:firstRow="1" w:lastRow="0" w:firstColumn="0" w:lastColumn="0" w:oddVBand="0" w:evenVBand="0" w:oddHBand="0" w:evenHBand="0" w:firstRowFirstColumn="0" w:firstRowLastColumn="0" w:lastRowFirstColumn="0" w:lastRowLastColumn="0"/>
          <w:trHeight w:val="60"/>
        </w:trPr>
        <w:tc>
          <w:tcPr>
            <w:tcW w:w="4536" w:type="dxa"/>
            <w:tcBorders>
              <w:bottom w:val="single" w:sz="4" w:space="0" w:color="auto"/>
            </w:tcBorders>
          </w:tcPr>
          <w:p w:rsidR="00761DBF" w:rsidRPr="008B164E" w:rsidRDefault="00761DBF" w:rsidP="00761DBF">
            <w:pPr>
              <w:pStyle w:val="FinancialsTableText"/>
            </w:pPr>
          </w:p>
        </w:tc>
        <w:tc>
          <w:tcPr>
            <w:tcW w:w="1276" w:type="dxa"/>
            <w:tcBorders>
              <w:bottom w:val="single" w:sz="4" w:space="0" w:color="auto"/>
            </w:tcBorders>
          </w:tcPr>
          <w:p w:rsidR="00761DBF" w:rsidRDefault="00761DBF" w:rsidP="00A04803">
            <w:pPr>
              <w:pStyle w:val="FinancialsTableText"/>
              <w:jc w:val="center"/>
            </w:pPr>
            <w:r>
              <w:t>Notes</w:t>
            </w:r>
          </w:p>
        </w:tc>
        <w:tc>
          <w:tcPr>
            <w:tcW w:w="1103" w:type="dxa"/>
            <w:tcBorders>
              <w:bottom w:val="single" w:sz="4" w:space="0" w:color="auto"/>
            </w:tcBorders>
            <w:vAlign w:val="top"/>
          </w:tcPr>
          <w:p w:rsidR="00761DBF" w:rsidRPr="008B164E" w:rsidRDefault="00761DBF" w:rsidP="00A04803">
            <w:pPr>
              <w:pStyle w:val="FinancialsTableText"/>
              <w:jc w:val="right"/>
            </w:pPr>
            <w:r>
              <w:t>2015</w:t>
            </w:r>
            <w:r>
              <w:br/>
            </w:r>
            <w:r w:rsidRPr="008B164E">
              <w:rPr>
                <w:b w:val="0"/>
              </w:rPr>
              <w:t xml:space="preserve">$’000 </w:t>
            </w:r>
          </w:p>
        </w:tc>
        <w:tc>
          <w:tcPr>
            <w:tcW w:w="1484" w:type="dxa"/>
            <w:tcBorders>
              <w:bottom w:val="single" w:sz="4" w:space="0" w:color="auto"/>
            </w:tcBorders>
            <w:vAlign w:val="top"/>
          </w:tcPr>
          <w:p w:rsidR="00761DBF" w:rsidRDefault="00761DBF" w:rsidP="00A04803">
            <w:pPr>
              <w:pStyle w:val="FinancialsTableText"/>
              <w:jc w:val="right"/>
            </w:pPr>
            <w:r>
              <w:t>2014</w:t>
            </w:r>
            <w:r>
              <w:br/>
            </w:r>
            <w:r w:rsidRPr="008B164E">
              <w:rPr>
                <w:b w:val="0"/>
              </w:rPr>
              <w:t>$’000</w:t>
            </w:r>
            <w:r>
              <w:br/>
            </w:r>
            <w:r w:rsidRPr="008B164E">
              <w:rPr>
                <w:b w:val="0"/>
              </w:rPr>
              <w:t>Departmental</w:t>
            </w:r>
          </w:p>
        </w:tc>
        <w:tc>
          <w:tcPr>
            <w:tcW w:w="1442" w:type="dxa"/>
            <w:tcBorders>
              <w:bottom w:val="single" w:sz="4" w:space="0" w:color="auto"/>
            </w:tcBorders>
            <w:shd w:val="clear" w:color="auto" w:fill="E6E7E9"/>
            <w:vAlign w:val="top"/>
          </w:tcPr>
          <w:p w:rsidR="00761DBF" w:rsidRDefault="00761DBF" w:rsidP="00A04803">
            <w:pPr>
              <w:pStyle w:val="FinancialsTableText"/>
              <w:jc w:val="right"/>
            </w:pPr>
            <w:r>
              <w:t>2014</w:t>
            </w:r>
            <w:r>
              <w:br/>
            </w:r>
            <w:r w:rsidRPr="008B164E">
              <w:rPr>
                <w:b w:val="0"/>
              </w:rPr>
              <w:t>$’000</w:t>
            </w:r>
            <w:r>
              <w:br/>
            </w:r>
            <w:r w:rsidRPr="008B164E">
              <w:rPr>
                <w:b w:val="0"/>
              </w:rPr>
              <w:t>Administered</w:t>
            </w:r>
          </w:p>
        </w:tc>
      </w:tr>
      <w:tr w:rsidR="00761DBF" w:rsidRPr="008B164E" w:rsidTr="00F618C4">
        <w:trPr>
          <w:trHeight w:val="58"/>
        </w:trPr>
        <w:tc>
          <w:tcPr>
            <w:tcW w:w="4536" w:type="dxa"/>
            <w:tcBorders>
              <w:top w:val="single" w:sz="4" w:space="0" w:color="auto"/>
            </w:tcBorders>
            <w:vAlign w:val="center"/>
          </w:tcPr>
          <w:p w:rsidR="00761DBF" w:rsidRPr="006457F8" w:rsidRDefault="001B3904" w:rsidP="001B3904">
            <w:pPr>
              <w:pStyle w:val="FinancialsTableH1"/>
            </w:pPr>
            <w:r w:rsidRPr="001B3904">
              <w:t>Operating activities</w:t>
            </w:r>
          </w:p>
        </w:tc>
        <w:tc>
          <w:tcPr>
            <w:tcW w:w="1276" w:type="dxa"/>
            <w:tcBorders>
              <w:top w:val="single" w:sz="4" w:space="0" w:color="auto"/>
            </w:tcBorders>
          </w:tcPr>
          <w:p w:rsidR="00761DBF" w:rsidRPr="008B164E" w:rsidRDefault="00761DBF" w:rsidP="00A04803">
            <w:pPr>
              <w:pStyle w:val="FinancialsTableText"/>
              <w:jc w:val="center"/>
            </w:pPr>
          </w:p>
        </w:tc>
        <w:tc>
          <w:tcPr>
            <w:tcW w:w="1103" w:type="dxa"/>
            <w:tcBorders>
              <w:top w:val="single" w:sz="4" w:space="0" w:color="auto"/>
            </w:tcBorders>
          </w:tcPr>
          <w:p w:rsidR="00761DBF" w:rsidRPr="00A04803" w:rsidRDefault="00761DBF" w:rsidP="00A04803">
            <w:pPr>
              <w:pStyle w:val="FinancialsTableText"/>
              <w:jc w:val="right"/>
              <w:rPr>
                <w:b/>
              </w:rPr>
            </w:pPr>
          </w:p>
        </w:tc>
        <w:tc>
          <w:tcPr>
            <w:tcW w:w="1484" w:type="dxa"/>
            <w:tcBorders>
              <w:top w:val="single" w:sz="4" w:space="0" w:color="auto"/>
            </w:tcBorders>
          </w:tcPr>
          <w:p w:rsidR="00761DBF" w:rsidRPr="008B164E" w:rsidRDefault="00761DBF" w:rsidP="00A04803">
            <w:pPr>
              <w:pStyle w:val="FinancialsTableText"/>
              <w:jc w:val="right"/>
            </w:pPr>
          </w:p>
        </w:tc>
        <w:tc>
          <w:tcPr>
            <w:tcW w:w="1442" w:type="dxa"/>
            <w:tcBorders>
              <w:top w:val="single" w:sz="4" w:space="0" w:color="auto"/>
            </w:tcBorders>
            <w:shd w:val="clear" w:color="auto" w:fill="E6E7E9"/>
          </w:tcPr>
          <w:p w:rsidR="00761DBF" w:rsidRPr="008B164E" w:rsidRDefault="00761DBF" w:rsidP="00A04803">
            <w:pPr>
              <w:pStyle w:val="FinancialsTableText"/>
              <w:jc w:val="right"/>
            </w:pPr>
          </w:p>
        </w:tc>
      </w:tr>
      <w:tr w:rsidR="001B3904" w:rsidRPr="008B164E" w:rsidTr="00F618C4">
        <w:trPr>
          <w:trHeight w:val="58"/>
        </w:trPr>
        <w:tc>
          <w:tcPr>
            <w:tcW w:w="4536" w:type="dxa"/>
            <w:tcBorders>
              <w:top w:val="single" w:sz="4" w:space="0" w:color="auto"/>
            </w:tcBorders>
          </w:tcPr>
          <w:p w:rsidR="001B3904" w:rsidRDefault="001B3904" w:rsidP="001B3904">
            <w:pPr>
              <w:pStyle w:val="FinancialsTableH2"/>
            </w:pPr>
            <w:r>
              <w:t>Cash received</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p>
        </w:tc>
        <w:tc>
          <w:tcPr>
            <w:tcW w:w="1484" w:type="dxa"/>
            <w:tcBorders>
              <w:top w:val="single" w:sz="4" w:space="0" w:color="auto"/>
            </w:tcBorders>
          </w:tcPr>
          <w:p w:rsidR="001B3904" w:rsidRDefault="001B3904" w:rsidP="00A04803">
            <w:pPr>
              <w:pStyle w:val="FinancialsTableText"/>
              <w:jc w:val="right"/>
            </w:pPr>
          </w:p>
        </w:tc>
        <w:tc>
          <w:tcPr>
            <w:tcW w:w="1442" w:type="dxa"/>
            <w:tcBorders>
              <w:top w:val="single" w:sz="4" w:space="0" w:color="auto"/>
            </w:tcBorders>
            <w:shd w:val="clear" w:color="auto" w:fill="E6E7E9"/>
          </w:tcPr>
          <w:p w:rsidR="001B3904" w:rsidRDefault="001B3904" w:rsidP="00A04803">
            <w:pPr>
              <w:pStyle w:val="FinancialsTableText"/>
              <w:jc w:val="right"/>
            </w:pPr>
          </w:p>
        </w:tc>
      </w:tr>
      <w:tr w:rsidR="001B3904" w:rsidRPr="008B164E" w:rsidTr="00F618C4">
        <w:trPr>
          <w:trHeight w:val="58"/>
        </w:trPr>
        <w:tc>
          <w:tcPr>
            <w:tcW w:w="4536" w:type="dxa"/>
            <w:tcBorders>
              <w:top w:val="single" w:sz="4" w:space="0" w:color="auto"/>
            </w:tcBorders>
          </w:tcPr>
          <w:p w:rsidR="001B3904" w:rsidRDefault="001B3904" w:rsidP="001B3904">
            <w:pPr>
              <w:pStyle w:val="FinancialsTableTextIndented"/>
            </w:pPr>
            <w:r>
              <w:t>Appropriations</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23,641 </w:t>
            </w:r>
          </w:p>
        </w:tc>
        <w:tc>
          <w:tcPr>
            <w:tcW w:w="1484" w:type="dxa"/>
            <w:tcBorders>
              <w:top w:val="single" w:sz="4" w:space="0" w:color="auto"/>
            </w:tcBorders>
          </w:tcPr>
          <w:p w:rsidR="001B3904" w:rsidRDefault="001B3904" w:rsidP="00A04803">
            <w:pPr>
              <w:pStyle w:val="FinancialsTableText"/>
              <w:jc w:val="right"/>
            </w:pPr>
            <w:r>
              <w:t xml:space="preserve"> 11,516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tcBorders>
          </w:tcPr>
          <w:p w:rsidR="001B3904" w:rsidRDefault="001B3904" w:rsidP="001B3904">
            <w:pPr>
              <w:pStyle w:val="FinancialsTableTextIndented"/>
            </w:pPr>
            <w:r>
              <w:t>Sales of goods and rendering of services</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1,316 </w:t>
            </w:r>
          </w:p>
        </w:tc>
        <w:tc>
          <w:tcPr>
            <w:tcW w:w="1484" w:type="dxa"/>
            <w:tcBorders>
              <w:top w:val="single" w:sz="4" w:space="0" w:color="auto"/>
            </w:tcBorders>
          </w:tcPr>
          <w:p w:rsidR="001B3904" w:rsidRDefault="001B3904" w:rsidP="00A04803">
            <w:pPr>
              <w:pStyle w:val="FinancialsTableText"/>
              <w:jc w:val="right"/>
            </w:pPr>
            <w:r>
              <w:t xml:space="preserve"> 677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2,098 </w:t>
            </w:r>
          </w:p>
        </w:tc>
      </w:tr>
      <w:tr w:rsidR="001B3904" w:rsidRPr="008B164E" w:rsidTr="00F618C4">
        <w:trPr>
          <w:trHeight w:val="60"/>
        </w:trPr>
        <w:tc>
          <w:tcPr>
            <w:tcW w:w="4536" w:type="dxa"/>
            <w:tcBorders>
              <w:top w:val="single" w:sz="4" w:space="0" w:color="auto"/>
            </w:tcBorders>
          </w:tcPr>
          <w:p w:rsidR="001B3904" w:rsidRDefault="001B3904" w:rsidP="001B3904">
            <w:pPr>
              <w:pStyle w:val="FinancialsTableTextIndented"/>
            </w:pPr>
            <w:r>
              <w:t>Other – cash lease incentive</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 </w:t>
            </w:r>
          </w:p>
        </w:tc>
        <w:tc>
          <w:tcPr>
            <w:tcW w:w="1484" w:type="dxa"/>
            <w:tcBorders>
              <w:top w:val="single" w:sz="4" w:space="0" w:color="auto"/>
            </w:tcBorders>
          </w:tcPr>
          <w:p w:rsidR="001B3904" w:rsidRDefault="001B3904" w:rsidP="00A04803">
            <w:pPr>
              <w:pStyle w:val="FinancialsTableText"/>
              <w:jc w:val="right"/>
            </w:pPr>
            <w:r>
              <w:t xml:space="preserve"> –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tcBorders>
          </w:tcPr>
          <w:p w:rsidR="001B3904" w:rsidRDefault="001B3904" w:rsidP="001B3904">
            <w:pPr>
              <w:pStyle w:val="FinancialsTableTextIndented"/>
            </w:pPr>
            <w:r>
              <w:t>Net GST received</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1,047 </w:t>
            </w:r>
          </w:p>
        </w:tc>
        <w:tc>
          <w:tcPr>
            <w:tcW w:w="1484" w:type="dxa"/>
            <w:tcBorders>
              <w:top w:val="single" w:sz="4" w:space="0" w:color="auto"/>
            </w:tcBorders>
          </w:tcPr>
          <w:p w:rsidR="001B3904" w:rsidRDefault="001B3904" w:rsidP="00A04803">
            <w:pPr>
              <w:pStyle w:val="FinancialsTableText"/>
              <w:jc w:val="right"/>
            </w:pPr>
            <w:r>
              <w:t xml:space="preserve"> 177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677 </w:t>
            </w:r>
          </w:p>
        </w:tc>
      </w:tr>
      <w:tr w:rsidR="001B3904" w:rsidRPr="008B164E" w:rsidTr="00F618C4">
        <w:trPr>
          <w:trHeight w:val="60"/>
        </w:trPr>
        <w:tc>
          <w:tcPr>
            <w:tcW w:w="4536" w:type="dxa"/>
            <w:tcBorders>
              <w:top w:val="single" w:sz="4" w:space="0" w:color="auto"/>
            </w:tcBorders>
          </w:tcPr>
          <w:p w:rsidR="001B3904" w:rsidRDefault="001B3904" w:rsidP="001B3904">
            <w:pPr>
              <w:pStyle w:val="FinancialsTableTextIndented"/>
            </w:pPr>
            <w:r>
              <w:t>Interest</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34 </w:t>
            </w:r>
          </w:p>
        </w:tc>
        <w:tc>
          <w:tcPr>
            <w:tcW w:w="1484" w:type="dxa"/>
            <w:tcBorders>
              <w:top w:val="single" w:sz="4" w:space="0" w:color="auto"/>
            </w:tcBorders>
          </w:tcPr>
          <w:p w:rsidR="001B3904" w:rsidRDefault="001B3904" w:rsidP="00A04803">
            <w:pPr>
              <w:pStyle w:val="FinancialsTableText"/>
              <w:jc w:val="right"/>
            </w:pPr>
            <w:r>
              <w:t xml:space="preserve"> 8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tcBorders>
          </w:tcPr>
          <w:p w:rsidR="001B3904" w:rsidRDefault="001B3904" w:rsidP="001B3904">
            <w:pPr>
              <w:pStyle w:val="FinancialsTableTextIndented"/>
            </w:pPr>
            <w:r>
              <w:t>Other</w:t>
            </w:r>
          </w:p>
        </w:tc>
        <w:tc>
          <w:tcPr>
            <w:tcW w:w="1276" w:type="dxa"/>
            <w:tcBorders>
              <w:top w:val="single" w:sz="4" w:space="0" w:color="auto"/>
            </w:tcBorders>
          </w:tcPr>
          <w:p w:rsidR="001B3904" w:rsidRDefault="001B3904" w:rsidP="00A04803">
            <w:pPr>
              <w:pStyle w:val="FinancialsTableText"/>
              <w:jc w:val="center"/>
            </w:pPr>
          </w:p>
        </w:tc>
        <w:tc>
          <w:tcPr>
            <w:tcW w:w="1103" w:type="dxa"/>
            <w:tcBorders>
              <w:top w:val="single" w:sz="4" w:space="0" w:color="auto"/>
            </w:tcBorders>
          </w:tcPr>
          <w:p w:rsidR="001B3904" w:rsidRPr="00A04803" w:rsidRDefault="001B3904" w:rsidP="00A04803">
            <w:pPr>
              <w:pStyle w:val="FinancialsTableText"/>
              <w:jc w:val="right"/>
              <w:rPr>
                <w:b/>
              </w:rPr>
            </w:pPr>
            <w:r w:rsidRPr="00A04803">
              <w:rPr>
                <w:b/>
              </w:rPr>
              <w:t xml:space="preserve"> 37 </w:t>
            </w:r>
          </w:p>
        </w:tc>
        <w:tc>
          <w:tcPr>
            <w:tcW w:w="1484" w:type="dxa"/>
            <w:tcBorders>
              <w:top w:val="single" w:sz="4" w:space="0" w:color="auto"/>
            </w:tcBorders>
          </w:tcPr>
          <w:p w:rsidR="001B3904" w:rsidRDefault="001B3904" w:rsidP="00A04803">
            <w:pPr>
              <w:pStyle w:val="FinancialsTableText"/>
              <w:jc w:val="right"/>
            </w:pPr>
            <w:r>
              <w:t xml:space="preserve"> 50 </w:t>
            </w:r>
          </w:p>
        </w:tc>
        <w:tc>
          <w:tcPr>
            <w:tcW w:w="1442" w:type="dxa"/>
            <w:tcBorders>
              <w:top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Total cash received</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26,075 </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12,428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2,775 </w:t>
            </w:r>
          </w:p>
        </w:tc>
      </w:tr>
      <w:tr w:rsidR="00761DBF" w:rsidRPr="008B164E" w:rsidTr="00F618C4">
        <w:trPr>
          <w:trHeight w:val="60"/>
        </w:trPr>
        <w:tc>
          <w:tcPr>
            <w:tcW w:w="4536" w:type="dxa"/>
            <w:tcBorders>
              <w:top w:val="single" w:sz="4" w:space="0" w:color="auto"/>
              <w:bottom w:val="single" w:sz="4" w:space="0" w:color="auto"/>
            </w:tcBorders>
          </w:tcPr>
          <w:p w:rsidR="00761DBF" w:rsidRPr="00761DBF" w:rsidRDefault="001B3904" w:rsidP="001B3904">
            <w:pPr>
              <w:pStyle w:val="FinancialsTableH2"/>
            </w:pPr>
            <w:r w:rsidRPr="001B3904">
              <w:t>Cash used</w:t>
            </w:r>
          </w:p>
        </w:tc>
        <w:tc>
          <w:tcPr>
            <w:tcW w:w="1276" w:type="dxa"/>
            <w:tcBorders>
              <w:top w:val="single" w:sz="4" w:space="0" w:color="auto"/>
              <w:bottom w:val="single" w:sz="4" w:space="0" w:color="auto"/>
            </w:tcBorders>
          </w:tcPr>
          <w:p w:rsidR="00761DBF" w:rsidRPr="008B164E" w:rsidRDefault="00761DBF" w:rsidP="00A04803">
            <w:pPr>
              <w:pStyle w:val="FinancialsTableText"/>
              <w:jc w:val="center"/>
            </w:pPr>
          </w:p>
        </w:tc>
        <w:tc>
          <w:tcPr>
            <w:tcW w:w="1103" w:type="dxa"/>
            <w:tcBorders>
              <w:top w:val="single" w:sz="4" w:space="0" w:color="auto"/>
              <w:bottom w:val="single" w:sz="4" w:space="0" w:color="auto"/>
            </w:tcBorders>
          </w:tcPr>
          <w:p w:rsidR="00761DBF" w:rsidRPr="00677895" w:rsidRDefault="00761DBF" w:rsidP="00A04803">
            <w:pPr>
              <w:pStyle w:val="FinancialsTableText"/>
              <w:jc w:val="right"/>
              <w:rPr>
                <w:b/>
              </w:rPr>
            </w:pPr>
          </w:p>
        </w:tc>
        <w:tc>
          <w:tcPr>
            <w:tcW w:w="1484" w:type="dxa"/>
            <w:tcBorders>
              <w:top w:val="single" w:sz="4" w:space="0" w:color="auto"/>
              <w:bottom w:val="single" w:sz="4" w:space="0" w:color="auto"/>
            </w:tcBorders>
          </w:tcPr>
          <w:p w:rsidR="00761DBF" w:rsidRPr="008B164E" w:rsidRDefault="00761DBF" w:rsidP="00A04803">
            <w:pPr>
              <w:pStyle w:val="FinancialsTableText"/>
              <w:jc w:val="right"/>
            </w:pPr>
          </w:p>
        </w:tc>
        <w:tc>
          <w:tcPr>
            <w:tcW w:w="1442" w:type="dxa"/>
            <w:tcBorders>
              <w:top w:val="single" w:sz="4" w:space="0" w:color="auto"/>
              <w:bottom w:val="single" w:sz="4" w:space="0" w:color="auto"/>
            </w:tcBorders>
            <w:shd w:val="clear" w:color="auto" w:fill="E6E7E9"/>
          </w:tcPr>
          <w:p w:rsidR="00761DBF" w:rsidRPr="008B164E" w:rsidRDefault="00761DBF" w:rsidP="00A04803">
            <w:pPr>
              <w:pStyle w:val="FinancialsTableText"/>
              <w:jc w:val="right"/>
            </w:pP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Employees</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(6,908)</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(7,890)</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GST paid to ATO</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(53)</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Suppliers</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(14,186)</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(2,724)</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(9,220)</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Section 74 receipts transferred to Official Public Account</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vAlign w:val="bottom"/>
          </w:tcPr>
          <w:p w:rsidR="001B3904" w:rsidRPr="00A04803" w:rsidRDefault="001B3904" w:rsidP="00A04803">
            <w:pPr>
              <w:pStyle w:val="FinancialsTableText"/>
              <w:jc w:val="right"/>
              <w:rPr>
                <w:b/>
              </w:rPr>
            </w:pPr>
            <w:r w:rsidRPr="00A04803">
              <w:rPr>
                <w:b/>
              </w:rPr>
              <w:t xml:space="preserve"> – </w:t>
            </w:r>
          </w:p>
        </w:tc>
        <w:tc>
          <w:tcPr>
            <w:tcW w:w="1484" w:type="dxa"/>
            <w:tcBorders>
              <w:top w:val="single" w:sz="4" w:space="0" w:color="auto"/>
              <w:bottom w:val="single" w:sz="4" w:space="0" w:color="auto"/>
            </w:tcBorders>
            <w:vAlign w:val="bottom"/>
          </w:tcPr>
          <w:p w:rsidR="001B3904" w:rsidRDefault="001B3904" w:rsidP="00A04803">
            <w:pPr>
              <w:pStyle w:val="FinancialsTableText"/>
              <w:jc w:val="right"/>
            </w:pPr>
            <w:r>
              <w:t xml:space="preserve"> (1,723)</w:t>
            </w:r>
          </w:p>
        </w:tc>
        <w:tc>
          <w:tcPr>
            <w:tcW w:w="1442" w:type="dxa"/>
            <w:tcBorders>
              <w:top w:val="single" w:sz="4" w:space="0" w:color="auto"/>
              <w:bottom w:val="single" w:sz="4" w:space="0" w:color="auto"/>
            </w:tcBorders>
            <w:shd w:val="clear" w:color="auto" w:fill="E6E7E9"/>
            <w:vAlign w:val="bottom"/>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Other</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(3)</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Total cash used</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(21,150)</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(12,337)</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(9,220)</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Net cash from (used by) operating activities</w:t>
            </w:r>
          </w:p>
        </w:tc>
        <w:tc>
          <w:tcPr>
            <w:tcW w:w="1276" w:type="dxa"/>
            <w:tcBorders>
              <w:top w:val="single" w:sz="4" w:space="0" w:color="auto"/>
              <w:bottom w:val="single" w:sz="4" w:space="0" w:color="auto"/>
            </w:tcBorders>
          </w:tcPr>
          <w:p w:rsidR="001B3904" w:rsidRDefault="001B3904" w:rsidP="00A04803">
            <w:pPr>
              <w:pStyle w:val="FinancialsTableText"/>
              <w:jc w:val="center"/>
            </w:pPr>
            <w:r>
              <w:t>10</w:t>
            </w: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4,925 </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91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(6,445)</w:t>
            </w:r>
          </w:p>
        </w:tc>
      </w:tr>
      <w:tr w:rsidR="001B3904" w:rsidRPr="008B164E" w:rsidTr="00F618C4">
        <w:trPr>
          <w:trHeight w:val="60"/>
        </w:trPr>
        <w:tc>
          <w:tcPr>
            <w:tcW w:w="4536" w:type="dxa"/>
            <w:tcBorders>
              <w:top w:val="single" w:sz="4" w:space="0" w:color="auto"/>
              <w:bottom w:val="single" w:sz="4" w:space="0" w:color="auto"/>
            </w:tcBorders>
          </w:tcPr>
          <w:p w:rsidR="001B3904" w:rsidRPr="00761DBF" w:rsidRDefault="001B3904" w:rsidP="001B3904">
            <w:pPr>
              <w:pStyle w:val="FinancialsTableH1"/>
            </w:pPr>
            <w:r w:rsidRPr="001B3904">
              <w:t>Investing activities</w:t>
            </w:r>
          </w:p>
        </w:tc>
        <w:tc>
          <w:tcPr>
            <w:tcW w:w="1276" w:type="dxa"/>
            <w:tcBorders>
              <w:top w:val="single" w:sz="4" w:space="0" w:color="auto"/>
              <w:bottom w:val="single" w:sz="4" w:space="0" w:color="auto"/>
            </w:tcBorders>
          </w:tcPr>
          <w:p w:rsidR="001B3904" w:rsidRPr="008B164E" w:rsidRDefault="001B3904" w:rsidP="00A04803">
            <w:pPr>
              <w:pStyle w:val="FinancialsTableText"/>
              <w:jc w:val="center"/>
            </w:pPr>
          </w:p>
        </w:tc>
        <w:tc>
          <w:tcPr>
            <w:tcW w:w="1103" w:type="dxa"/>
            <w:tcBorders>
              <w:top w:val="single" w:sz="4" w:space="0" w:color="auto"/>
              <w:bottom w:val="single" w:sz="4" w:space="0" w:color="auto"/>
            </w:tcBorders>
          </w:tcPr>
          <w:p w:rsidR="001B3904" w:rsidRPr="00677895" w:rsidRDefault="001B3904" w:rsidP="00A04803">
            <w:pPr>
              <w:pStyle w:val="FinancialsTableText"/>
              <w:jc w:val="right"/>
              <w:rPr>
                <w:b/>
              </w:rPr>
            </w:pPr>
          </w:p>
        </w:tc>
        <w:tc>
          <w:tcPr>
            <w:tcW w:w="1484" w:type="dxa"/>
            <w:tcBorders>
              <w:top w:val="single" w:sz="4" w:space="0" w:color="auto"/>
              <w:bottom w:val="single" w:sz="4" w:space="0" w:color="auto"/>
            </w:tcBorders>
          </w:tcPr>
          <w:p w:rsidR="001B3904" w:rsidRPr="008B164E" w:rsidRDefault="001B3904" w:rsidP="00A04803">
            <w:pPr>
              <w:pStyle w:val="FinancialsTableText"/>
              <w:jc w:val="right"/>
            </w:pPr>
          </w:p>
        </w:tc>
        <w:tc>
          <w:tcPr>
            <w:tcW w:w="1442" w:type="dxa"/>
            <w:tcBorders>
              <w:top w:val="single" w:sz="4" w:space="0" w:color="auto"/>
              <w:bottom w:val="single" w:sz="4" w:space="0" w:color="auto"/>
            </w:tcBorders>
            <w:shd w:val="clear" w:color="auto" w:fill="E6E7E9"/>
          </w:tcPr>
          <w:p w:rsidR="001B3904" w:rsidRPr="008B164E" w:rsidRDefault="001B3904" w:rsidP="00A04803">
            <w:pPr>
              <w:pStyle w:val="FinancialsTableText"/>
              <w:jc w:val="right"/>
            </w:pPr>
          </w:p>
        </w:tc>
      </w:tr>
      <w:tr w:rsidR="001B3904" w:rsidRPr="008B164E" w:rsidTr="00F618C4">
        <w:trPr>
          <w:trHeight w:val="60"/>
        </w:trPr>
        <w:tc>
          <w:tcPr>
            <w:tcW w:w="4536" w:type="dxa"/>
            <w:tcBorders>
              <w:top w:val="single" w:sz="4" w:space="0" w:color="auto"/>
              <w:bottom w:val="single" w:sz="4" w:space="0" w:color="auto"/>
            </w:tcBorders>
          </w:tcPr>
          <w:p w:rsidR="001B3904" w:rsidRPr="00761DBF" w:rsidRDefault="001B3904" w:rsidP="001B3904">
            <w:pPr>
              <w:pStyle w:val="FinancialsTableH2"/>
            </w:pPr>
            <w:r w:rsidRPr="001B3904">
              <w:t>Cash received</w:t>
            </w:r>
          </w:p>
        </w:tc>
        <w:tc>
          <w:tcPr>
            <w:tcW w:w="1276" w:type="dxa"/>
            <w:tcBorders>
              <w:top w:val="single" w:sz="4" w:space="0" w:color="auto"/>
              <w:bottom w:val="single" w:sz="4" w:space="0" w:color="auto"/>
            </w:tcBorders>
          </w:tcPr>
          <w:p w:rsidR="001B3904" w:rsidRPr="008B164E" w:rsidRDefault="001B3904" w:rsidP="00A04803">
            <w:pPr>
              <w:pStyle w:val="FinancialsTableText"/>
              <w:jc w:val="center"/>
            </w:pPr>
          </w:p>
        </w:tc>
        <w:tc>
          <w:tcPr>
            <w:tcW w:w="1103" w:type="dxa"/>
            <w:tcBorders>
              <w:top w:val="single" w:sz="4" w:space="0" w:color="auto"/>
              <w:bottom w:val="single" w:sz="4" w:space="0" w:color="auto"/>
            </w:tcBorders>
          </w:tcPr>
          <w:p w:rsidR="001B3904" w:rsidRPr="00677895" w:rsidRDefault="001B3904" w:rsidP="00A04803">
            <w:pPr>
              <w:pStyle w:val="FinancialsTableText"/>
              <w:jc w:val="right"/>
              <w:rPr>
                <w:b/>
              </w:rPr>
            </w:pPr>
          </w:p>
        </w:tc>
        <w:tc>
          <w:tcPr>
            <w:tcW w:w="1484" w:type="dxa"/>
            <w:tcBorders>
              <w:top w:val="single" w:sz="4" w:space="0" w:color="auto"/>
              <w:bottom w:val="single" w:sz="4" w:space="0" w:color="auto"/>
            </w:tcBorders>
          </w:tcPr>
          <w:p w:rsidR="001B3904" w:rsidRPr="008B164E" w:rsidRDefault="001B3904" w:rsidP="00A04803">
            <w:pPr>
              <w:pStyle w:val="FinancialsTableText"/>
              <w:jc w:val="right"/>
            </w:pPr>
          </w:p>
        </w:tc>
        <w:tc>
          <w:tcPr>
            <w:tcW w:w="1442" w:type="dxa"/>
            <w:tcBorders>
              <w:top w:val="single" w:sz="4" w:space="0" w:color="auto"/>
              <w:bottom w:val="single" w:sz="4" w:space="0" w:color="auto"/>
            </w:tcBorders>
            <w:shd w:val="clear" w:color="auto" w:fill="E6E7E9"/>
          </w:tcPr>
          <w:p w:rsidR="001B3904" w:rsidRPr="008B164E" w:rsidRDefault="001B3904" w:rsidP="00A04803">
            <w:pPr>
              <w:pStyle w:val="FinancialsTableText"/>
              <w:jc w:val="right"/>
            </w:pP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Proceeds from sales of property, plant and equipment</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vAlign w:val="bottom"/>
          </w:tcPr>
          <w:p w:rsidR="001B3904" w:rsidRPr="00A04803" w:rsidRDefault="001B3904" w:rsidP="00A04803">
            <w:pPr>
              <w:pStyle w:val="FinancialsTableText"/>
              <w:jc w:val="right"/>
              <w:rPr>
                <w:b/>
              </w:rPr>
            </w:pPr>
            <w:r w:rsidRPr="00A04803">
              <w:rPr>
                <w:b/>
              </w:rPr>
              <w:t xml:space="preserve"> – </w:t>
            </w:r>
          </w:p>
        </w:tc>
        <w:tc>
          <w:tcPr>
            <w:tcW w:w="1484" w:type="dxa"/>
            <w:tcBorders>
              <w:top w:val="single" w:sz="4" w:space="0" w:color="auto"/>
              <w:bottom w:val="single" w:sz="4" w:space="0" w:color="auto"/>
            </w:tcBorders>
            <w:vAlign w:val="bottom"/>
          </w:tcPr>
          <w:p w:rsidR="001B3904" w:rsidRDefault="001B3904"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vAlign w:val="bottom"/>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Proceeds from sales of intangibles</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 </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Total cash received</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 </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Pr="00761DBF" w:rsidRDefault="001B3904" w:rsidP="001B3904">
            <w:pPr>
              <w:pStyle w:val="FinancialsTableH2"/>
            </w:pPr>
            <w:r w:rsidRPr="001B3904">
              <w:t>Cash used</w:t>
            </w:r>
          </w:p>
        </w:tc>
        <w:tc>
          <w:tcPr>
            <w:tcW w:w="1276" w:type="dxa"/>
            <w:tcBorders>
              <w:top w:val="single" w:sz="4" w:space="0" w:color="auto"/>
              <w:bottom w:val="single" w:sz="4" w:space="0" w:color="auto"/>
            </w:tcBorders>
          </w:tcPr>
          <w:p w:rsidR="001B3904" w:rsidRPr="008B164E" w:rsidRDefault="001B3904" w:rsidP="00A04803">
            <w:pPr>
              <w:pStyle w:val="FinancialsTableText"/>
              <w:jc w:val="center"/>
            </w:pPr>
          </w:p>
        </w:tc>
        <w:tc>
          <w:tcPr>
            <w:tcW w:w="1103" w:type="dxa"/>
            <w:tcBorders>
              <w:top w:val="single" w:sz="4" w:space="0" w:color="auto"/>
              <w:bottom w:val="single" w:sz="4" w:space="0" w:color="auto"/>
            </w:tcBorders>
          </w:tcPr>
          <w:p w:rsidR="001B3904" w:rsidRPr="00677895" w:rsidRDefault="001B3904" w:rsidP="00A04803">
            <w:pPr>
              <w:pStyle w:val="FinancialsTableText"/>
              <w:jc w:val="right"/>
              <w:rPr>
                <w:b/>
              </w:rPr>
            </w:pPr>
          </w:p>
        </w:tc>
        <w:tc>
          <w:tcPr>
            <w:tcW w:w="1484" w:type="dxa"/>
            <w:tcBorders>
              <w:top w:val="single" w:sz="4" w:space="0" w:color="auto"/>
              <w:bottom w:val="single" w:sz="4" w:space="0" w:color="auto"/>
            </w:tcBorders>
          </w:tcPr>
          <w:p w:rsidR="001B3904" w:rsidRPr="008B164E" w:rsidRDefault="001B3904" w:rsidP="00A04803">
            <w:pPr>
              <w:pStyle w:val="FinancialsTableText"/>
              <w:jc w:val="right"/>
            </w:pPr>
          </w:p>
        </w:tc>
        <w:tc>
          <w:tcPr>
            <w:tcW w:w="1442" w:type="dxa"/>
            <w:tcBorders>
              <w:top w:val="single" w:sz="4" w:space="0" w:color="auto"/>
              <w:bottom w:val="single" w:sz="4" w:space="0" w:color="auto"/>
            </w:tcBorders>
            <w:shd w:val="clear" w:color="auto" w:fill="E6E7E9"/>
          </w:tcPr>
          <w:p w:rsidR="001B3904" w:rsidRPr="008B164E" w:rsidRDefault="001B3904" w:rsidP="00A04803">
            <w:pPr>
              <w:pStyle w:val="FinancialsTableText"/>
              <w:jc w:val="right"/>
            </w:pP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Purchase of property, plant and equipment</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(174)</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(87)</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 </w:t>
            </w:r>
          </w:p>
        </w:tc>
      </w:tr>
      <w:tr w:rsidR="001B3904" w:rsidRPr="008B164E" w:rsidTr="00F618C4">
        <w:trPr>
          <w:trHeight w:val="60"/>
        </w:trPr>
        <w:tc>
          <w:tcPr>
            <w:tcW w:w="4536" w:type="dxa"/>
            <w:tcBorders>
              <w:top w:val="single" w:sz="4" w:space="0" w:color="auto"/>
              <w:bottom w:val="single" w:sz="4" w:space="0" w:color="auto"/>
            </w:tcBorders>
          </w:tcPr>
          <w:p w:rsidR="001B3904" w:rsidRDefault="001B3904" w:rsidP="001B3904">
            <w:pPr>
              <w:pStyle w:val="FinancialsTableTextIndented"/>
            </w:pPr>
            <w:r>
              <w:t>Purchase of intangibles</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(594)</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(84)</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(288)</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Total cash used</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(768)</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(171)</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(288)</w:t>
            </w:r>
          </w:p>
        </w:tc>
      </w:tr>
      <w:tr w:rsidR="001B3904" w:rsidRPr="008B164E" w:rsidTr="00F618C4">
        <w:trPr>
          <w:trHeight w:val="60"/>
        </w:trPr>
        <w:tc>
          <w:tcPr>
            <w:tcW w:w="4536" w:type="dxa"/>
            <w:tcBorders>
              <w:top w:val="single" w:sz="4" w:space="0" w:color="auto"/>
              <w:bottom w:val="single" w:sz="4" w:space="0" w:color="auto"/>
            </w:tcBorders>
          </w:tcPr>
          <w:p w:rsidR="001B3904" w:rsidRPr="001B3904" w:rsidRDefault="001B3904" w:rsidP="001B3904">
            <w:pPr>
              <w:pStyle w:val="FinancialsTableText"/>
              <w:rPr>
                <w:b/>
              </w:rPr>
            </w:pPr>
            <w:r w:rsidRPr="001B3904">
              <w:rPr>
                <w:b/>
              </w:rPr>
              <w:t>Net cash (used by) investing activities</w:t>
            </w:r>
          </w:p>
        </w:tc>
        <w:tc>
          <w:tcPr>
            <w:tcW w:w="1276" w:type="dxa"/>
            <w:tcBorders>
              <w:top w:val="single" w:sz="4" w:space="0" w:color="auto"/>
              <w:bottom w:val="single" w:sz="4" w:space="0" w:color="auto"/>
            </w:tcBorders>
          </w:tcPr>
          <w:p w:rsidR="001B3904" w:rsidRDefault="001B3904" w:rsidP="00A04803">
            <w:pPr>
              <w:pStyle w:val="FinancialsTableText"/>
              <w:jc w:val="center"/>
            </w:pPr>
          </w:p>
        </w:tc>
        <w:tc>
          <w:tcPr>
            <w:tcW w:w="1103" w:type="dxa"/>
            <w:tcBorders>
              <w:top w:val="single" w:sz="4" w:space="0" w:color="auto"/>
              <w:bottom w:val="single" w:sz="4" w:space="0" w:color="auto"/>
            </w:tcBorders>
          </w:tcPr>
          <w:p w:rsidR="001B3904" w:rsidRPr="00A04803" w:rsidRDefault="001B3904" w:rsidP="00A04803">
            <w:pPr>
              <w:pStyle w:val="FinancialsTableText"/>
              <w:jc w:val="right"/>
              <w:rPr>
                <w:b/>
              </w:rPr>
            </w:pPr>
            <w:r w:rsidRPr="00A04803">
              <w:rPr>
                <w:b/>
              </w:rPr>
              <w:t xml:space="preserve"> (768)</w:t>
            </w:r>
          </w:p>
        </w:tc>
        <w:tc>
          <w:tcPr>
            <w:tcW w:w="1484" w:type="dxa"/>
            <w:tcBorders>
              <w:top w:val="single" w:sz="4" w:space="0" w:color="auto"/>
              <w:bottom w:val="single" w:sz="4" w:space="0" w:color="auto"/>
            </w:tcBorders>
          </w:tcPr>
          <w:p w:rsidR="001B3904" w:rsidRDefault="001B3904" w:rsidP="00A04803">
            <w:pPr>
              <w:pStyle w:val="FinancialsTableText"/>
              <w:jc w:val="right"/>
            </w:pPr>
            <w:r>
              <w:t xml:space="preserve"> (171)</w:t>
            </w:r>
          </w:p>
        </w:tc>
        <w:tc>
          <w:tcPr>
            <w:tcW w:w="1442" w:type="dxa"/>
            <w:tcBorders>
              <w:top w:val="single" w:sz="4" w:space="0" w:color="auto"/>
              <w:bottom w:val="single" w:sz="4" w:space="0" w:color="auto"/>
            </w:tcBorders>
            <w:shd w:val="clear" w:color="auto" w:fill="E6E7E9"/>
          </w:tcPr>
          <w:p w:rsidR="001B3904" w:rsidRDefault="001B3904" w:rsidP="00A04803">
            <w:pPr>
              <w:pStyle w:val="FinancialsTableText"/>
              <w:jc w:val="right"/>
            </w:pPr>
            <w:r>
              <w:t xml:space="preserve"> (288)</w:t>
            </w:r>
          </w:p>
        </w:tc>
      </w:tr>
    </w:tbl>
    <w:p w:rsidR="00854138" w:rsidRPr="00374A6C" w:rsidRDefault="00374A6C" w:rsidP="00374A6C">
      <w:pPr>
        <w:pStyle w:val="SourceNotesText"/>
        <w:rPr>
          <w:i/>
        </w:rPr>
      </w:pPr>
      <w:r w:rsidRPr="00374A6C">
        <w:rPr>
          <w:i/>
        </w:rPr>
        <w:t>The above statement should be read in conjunction with the accompanying notes</w:t>
      </w:r>
      <w:r w:rsidR="00854138" w:rsidRPr="00374A6C">
        <w:rPr>
          <w:i/>
        </w:rPr>
        <w:br w:type="page"/>
      </w:r>
    </w:p>
    <w:p w:rsidR="00854138" w:rsidRPr="00854138" w:rsidRDefault="00854138" w:rsidP="00854138">
      <w:pPr>
        <w:spacing w:before="0" w:after="0"/>
        <w:rPr>
          <w:b/>
          <w:sz w:val="24"/>
        </w:rPr>
      </w:pPr>
      <w:r w:rsidRPr="00854138">
        <w:rPr>
          <w:b/>
          <w:sz w:val="24"/>
        </w:rPr>
        <w:lastRenderedPageBreak/>
        <w:t>Cash flow statement</w:t>
      </w:r>
      <w:r>
        <w:rPr>
          <w:b/>
          <w:sz w:val="24"/>
        </w:rPr>
        <w:t xml:space="preserve"> continued</w:t>
      </w:r>
    </w:p>
    <w:p w:rsidR="00854138" w:rsidRDefault="00854138" w:rsidP="00854138">
      <w:pPr>
        <w:spacing w:before="0"/>
      </w:pPr>
      <w:r>
        <w:t>for the year ended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Cash flow statement continued for the year ended 30 June 2015"/>
      </w:tblPr>
      <w:tblGrid>
        <w:gridCol w:w="4536"/>
        <w:gridCol w:w="1276"/>
        <w:gridCol w:w="1103"/>
        <w:gridCol w:w="1484"/>
        <w:gridCol w:w="1442"/>
      </w:tblGrid>
      <w:tr w:rsidR="00007D1F" w:rsidRPr="008B164E" w:rsidTr="00E041F0">
        <w:trPr>
          <w:cnfStyle w:val="100000000000" w:firstRow="1" w:lastRow="0" w:firstColumn="0" w:lastColumn="0" w:oddVBand="0" w:evenVBand="0" w:oddHBand="0" w:evenHBand="0" w:firstRowFirstColumn="0" w:firstRowLastColumn="0" w:lastRowFirstColumn="0" w:lastRowLastColumn="0"/>
          <w:trHeight w:val="60"/>
        </w:trPr>
        <w:tc>
          <w:tcPr>
            <w:tcW w:w="4536" w:type="dxa"/>
            <w:tcBorders>
              <w:top w:val="nil"/>
              <w:bottom w:val="single" w:sz="4" w:space="0" w:color="auto"/>
            </w:tcBorders>
          </w:tcPr>
          <w:p w:rsidR="00007D1F" w:rsidRPr="008B164E" w:rsidRDefault="00007D1F" w:rsidP="005D1177">
            <w:pPr>
              <w:pStyle w:val="FinancialsTableText"/>
            </w:pPr>
          </w:p>
        </w:tc>
        <w:tc>
          <w:tcPr>
            <w:tcW w:w="1276" w:type="dxa"/>
            <w:tcBorders>
              <w:top w:val="nil"/>
              <w:bottom w:val="single" w:sz="4" w:space="0" w:color="auto"/>
            </w:tcBorders>
          </w:tcPr>
          <w:p w:rsidR="00007D1F" w:rsidRDefault="00007D1F" w:rsidP="005D1177">
            <w:pPr>
              <w:pStyle w:val="FinancialsTableText"/>
              <w:jc w:val="center"/>
            </w:pPr>
            <w:r>
              <w:t>Notes</w:t>
            </w:r>
          </w:p>
        </w:tc>
        <w:tc>
          <w:tcPr>
            <w:tcW w:w="1103" w:type="dxa"/>
            <w:tcBorders>
              <w:top w:val="nil"/>
              <w:bottom w:val="single" w:sz="4" w:space="0" w:color="auto"/>
            </w:tcBorders>
            <w:vAlign w:val="top"/>
          </w:tcPr>
          <w:p w:rsidR="00007D1F" w:rsidRPr="008B164E" w:rsidRDefault="00007D1F" w:rsidP="00E041F0">
            <w:pPr>
              <w:pStyle w:val="FinancialsTableText"/>
              <w:jc w:val="right"/>
            </w:pPr>
            <w:r>
              <w:t>2015</w:t>
            </w:r>
            <w:r>
              <w:br/>
            </w:r>
            <w:r w:rsidRPr="008B164E">
              <w:rPr>
                <w:b w:val="0"/>
              </w:rPr>
              <w:t xml:space="preserve">$’000 </w:t>
            </w:r>
          </w:p>
        </w:tc>
        <w:tc>
          <w:tcPr>
            <w:tcW w:w="1484" w:type="dxa"/>
            <w:tcBorders>
              <w:top w:val="nil"/>
              <w:bottom w:val="single" w:sz="4" w:space="0" w:color="auto"/>
            </w:tcBorders>
            <w:vAlign w:val="top"/>
          </w:tcPr>
          <w:p w:rsidR="00007D1F" w:rsidRDefault="00007D1F" w:rsidP="00E041F0">
            <w:pPr>
              <w:pStyle w:val="FinancialsTableText"/>
              <w:jc w:val="right"/>
            </w:pPr>
            <w:r>
              <w:t>2014</w:t>
            </w:r>
            <w:r>
              <w:br/>
            </w:r>
            <w:r w:rsidRPr="008B164E">
              <w:rPr>
                <w:b w:val="0"/>
              </w:rPr>
              <w:t>$’000</w:t>
            </w:r>
            <w:r>
              <w:br/>
            </w:r>
            <w:r w:rsidRPr="008B164E">
              <w:rPr>
                <w:b w:val="0"/>
              </w:rPr>
              <w:t>Departmental</w:t>
            </w:r>
          </w:p>
        </w:tc>
        <w:tc>
          <w:tcPr>
            <w:tcW w:w="1442" w:type="dxa"/>
            <w:tcBorders>
              <w:top w:val="nil"/>
              <w:bottom w:val="single" w:sz="4" w:space="0" w:color="auto"/>
            </w:tcBorders>
            <w:shd w:val="clear" w:color="auto" w:fill="E6E7E9"/>
            <w:vAlign w:val="top"/>
          </w:tcPr>
          <w:p w:rsidR="00007D1F" w:rsidRDefault="00007D1F" w:rsidP="00E041F0">
            <w:pPr>
              <w:pStyle w:val="FinancialsTableText"/>
              <w:jc w:val="right"/>
            </w:pPr>
            <w:r>
              <w:t>2014</w:t>
            </w:r>
            <w:r>
              <w:br/>
            </w:r>
            <w:r w:rsidRPr="008B164E">
              <w:rPr>
                <w:b w:val="0"/>
              </w:rPr>
              <w:t>$’000</w:t>
            </w:r>
            <w:r>
              <w:br/>
            </w:r>
            <w:r w:rsidRPr="008B164E">
              <w:rPr>
                <w:b w:val="0"/>
              </w:rPr>
              <w:t>Administered</w:t>
            </w:r>
          </w:p>
        </w:tc>
      </w:tr>
      <w:tr w:rsidR="00007D1F" w:rsidRPr="008B164E" w:rsidTr="00F618C4">
        <w:trPr>
          <w:trHeight w:val="60"/>
        </w:trPr>
        <w:tc>
          <w:tcPr>
            <w:tcW w:w="4536" w:type="dxa"/>
            <w:tcBorders>
              <w:top w:val="single" w:sz="4" w:space="0" w:color="auto"/>
              <w:bottom w:val="single" w:sz="4" w:space="0" w:color="auto"/>
            </w:tcBorders>
          </w:tcPr>
          <w:p w:rsidR="00007D1F" w:rsidRPr="00761DBF" w:rsidRDefault="00007D1F" w:rsidP="00A04803">
            <w:pPr>
              <w:pStyle w:val="FinancialsTableH1"/>
            </w:pPr>
            <w:r w:rsidRPr="00A04803">
              <w:t>Financing activities</w:t>
            </w:r>
          </w:p>
        </w:tc>
        <w:tc>
          <w:tcPr>
            <w:tcW w:w="1276" w:type="dxa"/>
            <w:tcBorders>
              <w:top w:val="single" w:sz="4" w:space="0" w:color="auto"/>
              <w:bottom w:val="single" w:sz="4" w:space="0" w:color="auto"/>
            </w:tcBorders>
          </w:tcPr>
          <w:p w:rsidR="00007D1F" w:rsidRPr="008B164E"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p>
        </w:tc>
        <w:tc>
          <w:tcPr>
            <w:tcW w:w="1484" w:type="dxa"/>
            <w:tcBorders>
              <w:top w:val="single" w:sz="4" w:space="0" w:color="auto"/>
              <w:bottom w:val="single" w:sz="4" w:space="0" w:color="auto"/>
            </w:tcBorders>
          </w:tcPr>
          <w:p w:rsidR="00007D1F" w:rsidRPr="008B164E" w:rsidRDefault="00007D1F" w:rsidP="00A04803">
            <w:pPr>
              <w:pStyle w:val="FinancialsTableText"/>
              <w:jc w:val="right"/>
            </w:pPr>
          </w:p>
        </w:tc>
        <w:tc>
          <w:tcPr>
            <w:tcW w:w="1442" w:type="dxa"/>
            <w:tcBorders>
              <w:top w:val="single" w:sz="4" w:space="0" w:color="auto"/>
              <w:bottom w:val="single" w:sz="4" w:space="0" w:color="auto"/>
            </w:tcBorders>
            <w:shd w:val="clear" w:color="auto" w:fill="E6E7E9"/>
          </w:tcPr>
          <w:p w:rsidR="00007D1F" w:rsidRPr="008B164E" w:rsidRDefault="00007D1F" w:rsidP="00A04803">
            <w:pPr>
              <w:pStyle w:val="FinancialsTableText"/>
              <w:jc w:val="right"/>
            </w:pP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Indented"/>
            </w:pPr>
            <w:r>
              <w:t>Cash received</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p>
        </w:tc>
        <w:tc>
          <w:tcPr>
            <w:tcW w:w="1484" w:type="dxa"/>
            <w:tcBorders>
              <w:top w:val="single" w:sz="4" w:space="0" w:color="auto"/>
              <w:bottom w:val="single" w:sz="4" w:space="0" w:color="auto"/>
            </w:tcBorders>
          </w:tcPr>
          <w:p w:rsidR="00007D1F" w:rsidRDefault="00007D1F" w:rsidP="00A04803">
            <w:pPr>
              <w:pStyle w:val="FinancialsTableText"/>
              <w:jc w:val="right"/>
            </w:pP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Indented"/>
            </w:pPr>
            <w:r>
              <w:t>Contributed equity</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200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Indented"/>
            </w:pPr>
            <w:r>
              <w:t>Other</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273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Pr="00A04803" w:rsidRDefault="00007D1F" w:rsidP="00A04803">
            <w:pPr>
              <w:pStyle w:val="FinancialsTableText"/>
              <w:rPr>
                <w:b/>
              </w:rPr>
            </w:pPr>
            <w:r w:rsidRPr="00A04803">
              <w:rPr>
                <w:b/>
              </w:rPr>
              <w:t>Total cash received</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273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200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H2"/>
            </w:pPr>
            <w:r>
              <w:t>Cash used</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p>
        </w:tc>
        <w:tc>
          <w:tcPr>
            <w:tcW w:w="1484" w:type="dxa"/>
            <w:tcBorders>
              <w:top w:val="single" w:sz="4" w:space="0" w:color="auto"/>
              <w:bottom w:val="single" w:sz="4" w:space="0" w:color="auto"/>
            </w:tcBorders>
          </w:tcPr>
          <w:p w:rsidR="00007D1F" w:rsidRDefault="00007D1F" w:rsidP="00A04803">
            <w:pPr>
              <w:pStyle w:val="FinancialsTableText"/>
              <w:jc w:val="right"/>
            </w:pP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Indented"/>
            </w:pPr>
            <w:r>
              <w:t>Purchases</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Pr="00A04803" w:rsidRDefault="00007D1F" w:rsidP="00A04803">
            <w:pPr>
              <w:pStyle w:val="FinancialsTableText"/>
              <w:rPr>
                <w:b/>
              </w:rPr>
            </w:pPr>
            <w:r w:rsidRPr="00A04803">
              <w:rPr>
                <w:b/>
              </w:rPr>
              <w:t>Total cash used</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Pr="00A04803" w:rsidRDefault="00007D1F" w:rsidP="00A04803">
            <w:pPr>
              <w:pStyle w:val="FinancialsTableText"/>
              <w:rPr>
                <w:b/>
              </w:rPr>
            </w:pPr>
            <w:r w:rsidRPr="00A04803">
              <w:rPr>
                <w:b/>
              </w:rPr>
              <w:t>Net cash from financing activities</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273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200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Pr="00A04803" w:rsidRDefault="00007D1F" w:rsidP="00A04803">
            <w:pPr>
              <w:pStyle w:val="FinancialsTableText"/>
              <w:rPr>
                <w:b/>
              </w:rPr>
            </w:pPr>
            <w:r w:rsidRPr="00A04803">
              <w:rPr>
                <w:b/>
              </w:rPr>
              <w:t>Net increase (decrease) in cash held</w:t>
            </w:r>
          </w:p>
        </w:tc>
        <w:tc>
          <w:tcPr>
            <w:tcW w:w="1276" w:type="dxa"/>
            <w:tcBorders>
              <w:top w:val="single" w:sz="4" w:space="0" w:color="auto"/>
              <w:bottom w:val="single" w:sz="4" w:space="0" w:color="auto"/>
            </w:tcBorders>
          </w:tcPr>
          <w:p w:rsidR="00007D1F" w:rsidRDefault="00007D1F" w:rsidP="00A04803">
            <w:pPr>
              <w:pStyle w:val="FinancialsTableText"/>
              <w:jc w:val="center"/>
            </w:pPr>
          </w:p>
        </w:tc>
        <w:tc>
          <w:tcPr>
            <w:tcW w:w="1103" w:type="dxa"/>
            <w:tcBorders>
              <w:top w:val="single" w:sz="4" w:space="0" w:color="auto"/>
              <w:bottom w:val="single" w:sz="4" w:space="0" w:color="auto"/>
            </w:tcBorders>
          </w:tcPr>
          <w:p w:rsidR="00007D1F" w:rsidRPr="00FF20AC" w:rsidRDefault="00007D1F" w:rsidP="00A04803">
            <w:pPr>
              <w:pStyle w:val="FinancialsTableText"/>
              <w:jc w:val="right"/>
              <w:rPr>
                <w:b/>
              </w:rPr>
            </w:pPr>
            <w:r w:rsidRPr="00FF20AC">
              <w:rPr>
                <w:b/>
              </w:rPr>
              <w:t xml:space="preserve"> 4,430 </w:t>
            </w:r>
          </w:p>
        </w:tc>
        <w:tc>
          <w:tcPr>
            <w:tcW w:w="1484" w:type="dxa"/>
            <w:tcBorders>
              <w:top w:val="single" w:sz="4" w:space="0" w:color="auto"/>
              <w:bottom w:val="single" w:sz="4" w:space="0" w:color="auto"/>
            </w:tcBorders>
          </w:tcPr>
          <w:p w:rsidR="00007D1F" w:rsidRDefault="00007D1F" w:rsidP="00A04803">
            <w:pPr>
              <w:pStyle w:val="FinancialsTableText"/>
              <w:jc w:val="right"/>
            </w:pPr>
            <w:r>
              <w:t xml:space="preserve"> 120 </w:t>
            </w:r>
          </w:p>
        </w:tc>
        <w:tc>
          <w:tcPr>
            <w:tcW w:w="1442" w:type="dxa"/>
            <w:tcBorders>
              <w:top w:val="single" w:sz="4" w:space="0" w:color="auto"/>
              <w:bottom w:val="single" w:sz="4" w:space="0" w:color="auto"/>
            </w:tcBorders>
            <w:shd w:val="clear" w:color="auto" w:fill="E6E7E9"/>
          </w:tcPr>
          <w:p w:rsidR="00007D1F" w:rsidRDefault="00007D1F" w:rsidP="00A04803">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
            </w:pPr>
            <w:r>
              <w:t>Cash and cash equivalents at the beginning of the reporting period</w:t>
            </w:r>
          </w:p>
        </w:tc>
        <w:tc>
          <w:tcPr>
            <w:tcW w:w="1276" w:type="dxa"/>
            <w:tcBorders>
              <w:top w:val="single" w:sz="4" w:space="0" w:color="auto"/>
              <w:bottom w:val="single" w:sz="4" w:space="0" w:color="auto"/>
            </w:tcBorders>
            <w:vAlign w:val="bottom"/>
          </w:tcPr>
          <w:p w:rsidR="00007D1F" w:rsidRDefault="00007D1F" w:rsidP="00A04803">
            <w:pPr>
              <w:pStyle w:val="FinancialsTableText"/>
              <w:jc w:val="center"/>
            </w:pPr>
          </w:p>
        </w:tc>
        <w:tc>
          <w:tcPr>
            <w:tcW w:w="1103" w:type="dxa"/>
            <w:tcBorders>
              <w:top w:val="single" w:sz="4" w:space="0" w:color="auto"/>
              <w:bottom w:val="single" w:sz="4" w:space="0" w:color="auto"/>
            </w:tcBorders>
            <w:vAlign w:val="bottom"/>
          </w:tcPr>
          <w:p w:rsidR="00007D1F" w:rsidRPr="00FF20AC" w:rsidRDefault="00007D1F" w:rsidP="00A04803">
            <w:pPr>
              <w:pStyle w:val="FinancialsTableText"/>
              <w:jc w:val="right"/>
              <w:rPr>
                <w:b/>
              </w:rPr>
            </w:pPr>
            <w:r w:rsidRPr="00FF20AC">
              <w:rPr>
                <w:b/>
              </w:rPr>
              <w:t xml:space="preserve"> 313 </w:t>
            </w:r>
          </w:p>
        </w:tc>
        <w:tc>
          <w:tcPr>
            <w:tcW w:w="1484" w:type="dxa"/>
            <w:tcBorders>
              <w:top w:val="single" w:sz="4" w:space="0" w:color="auto"/>
              <w:bottom w:val="single" w:sz="4" w:space="0" w:color="auto"/>
            </w:tcBorders>
            <w:vAlign w:val="bottom"/>
          </w:tcPr>
          <w:p w:rsidR="00007D1F" w:rsidRDefault="00007D1F" w:rsidP="00A04803">
            <w:pPr>
              <w:pStyle w:val="FinancialsTableText"/>
              <w:jc w:val="right"/>
            </w:pPr>
            <w:r>
              <w:t xml:space="preserve"> 193 </w:t>
            </w:r>
          </w:p>
        </w:tc>
        <w:tc>
          <w:tcPr>
            <w:tcW w:w="1442" w:type="dxa"/>
            <w:tcBorders>
              <w:top w:val="single" w:sz="4" w:space="0" w:color="auto"/>
              <w:bottom w:val="single" w:sz="4" w:space="0" w:color="auto"/>
            </w:tcBorders>
            <w:shd w:val="clear" w:color="auto" w:fill="E6E7E9"/>
            <w:vAlign w:val="bottom"/>
          </w:tcPr>
          <w:p w:rsidR="00007D1F" w:rsidRDefault="00007D1F" w:rsidP="00FF20AC">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Default="00007D1F" w:rsidP="00A04803">
            <w:pPr>
              <w:pStyle w:val="FinancialsTableText"/>
            </w:pPr>
            <w:r>
              <w:t>Cash transferred from (to) the Official Public Account</w:t>
            </w:r>
          </w:p>
        </w:tc>
        <w:tc>
          <w:tcPr>
            <w:tcW w:w="1276" w:type="dxa"/>
            <w:tcBorders>
              <w:top w:val="single" w:sz="4" w:space="0" w:color="auto"/>
              <w:bottom w:val="single" w:sz="4" w:space="0" w:color="auto"/>
            </w:tcBorders>
            <w:vAlign w:val="bottom"/>
          </w:tcPr>
          <w:p w:rsidR="00007D1F" w:rsidRDefault="00007D1F" w:rsidP="00A04803">
            <w:pPr>
              <w:pStyle w:val="FinancialsTableText"/>
              <w:jc w:val="center"/>
            </w:pPr>
          </w:p>
        </w:tc>
        <w:tc>
          <w:tcPr>
            <w:tcW w:w="1103" w:type="dxa"/>
            <w:tcBorders>
              <w:top w:val="single" w:sz="4" w:space="0" w:color="auto"/>
              <w:bottom w:val="single" w:sz="4" w:space="0" w:color="auto"/>
            </w:tcBorders>
            <w:vAlign w:val="bottom"/>
          </w:tcPr>
          <w:p w:rsidR="00007D1F" w:rsidRPr="00FF20AC" w:rsidRDefault="00007D1F" w:rsidP="00A04803">
            <w:pPr>
              <w:pStyle w:val="FinancialsTableText"/>
              <w:jc w:val="right"/>
              <w:rPr>
                <w:b/>
              </w:rPr>
            </w:pPr>
            <w:r w:rsidRPr="00FF20AC">
              <w:rPr>
                <w:b/>
              </w:rPr>
              <w:t xml:space="preserve"> – </w:t>
            </w:r>
          </w:p>
        </w:tc>
        <w:tc>
          <w:tcPr>
            <w:tcW w:w="1484" w:type="dxa"/>
            <w:tcBorders>
              <w:top w:val="single" w:sz="4" w:space="0" w:color="auto"/>
              <w:bottom w:val="single" w:sz="4" w:space="0" w:color="auto"/>
            </w:tcBorders>
            <w:vAlign w:val="bottom"/>
          </w:tcPr>
          <w:p w:rsidR="00007D1F" w:rsidRDefault="00007D1F" w:rsidP="00A04803">
            <w:pPr>
              <w:pStyle w:val="FinancialsTableText"/>
              <w:jc w:val="right"/>
            </w:pPr>
            <w:r>
              <w:t xml:space="preserve"> – </w:t>
            </w:r>
          </w:p>
        </w:tc>
        <w:tc>
          <w:tcPr>
            <w:tcW w:w="1442" w:type="dxa"/>
            <w:tcBorders>
              <w:top w:val="single" w:sz="4" w:space="0" w:color="auto"/>
              <w:bottom w:val="single" w:sz="4" w:space="0" w:color="auto"/>
            </w:tcBorders>
            <w:shd w:val="clear" w:color="auto" w:fill="E6E7E9"/>
            <w:vAlign w:val="bottom"/>
          </w:tcPr>
          <w:p w:rsidR="00007D1F" w:rsidRDefault="00007D1F" w:rsidP="00FF20AC">
            <w:pPr>
              <w:pStyle w:val="FinancialsTableText"/>
              <w:jc w:val="right"/>
            </w:pPr>
            <w:r>
              <w:t xml:space="preserve"> – </w:t>
            </w:r>
          </w:p>
        </w:tc>
      </w:tr>
      <w:tr w:rsidR="00007D1F" w:rsidRPr="008B164E" w:rsidTr="00F618C4">
        <w:trPr>
          <w:trHeight w:val="60"/>
        </w:trPr>
        <w:tc>
          <w:tcPr>
            <w:tcW w:w="4536" w:type="dxa"/>
            <w:tcBorders>
              <w:top w:val="single" w:sz="4" w:space="0" w:color="auto"/>
              <w:bottom w:val="single" w:sz="4" w:space="0" w:color="auto"/>
            </w:tcBorders>
          </w:tcPr>
          <w:p w:rsidR="00007D1F" w:rsidRPr="00A04803" w:rsidRDefault="00007D1F" w:rsidP="00A04803">
            <w:pPr>
              <w:pStyle w:val="FinancialsTableText"/>
              <w:rPr>
                <w:b/>
              </w:rPr>
            </w:pPr>
            <w:r w:rsidRPr="00A04803">
              <w:rPr>
                <w:b/>
              </w:rPr>
              <w:t>Cash and cash equivalents at the end of the reporting period</w:t>
            </w:r>
          </w:p>
        </w:tc>
        <w:tc>
          <w:tcPr>
            <w:tcW w:w="1276" w:type="dxa"/>
            <w:tcBorders>
              <w:top w:val="single" w:sz="4" w:space="0" w:color="auto"/>
              <w:bottom w:val="single" w:sz="4" w:space="0" w:color="auto"/>
            </w:tcBorders>
            <w:vAlign w:val="bottom"/>
          </w:tcPr>
          <w:p w:rsidR="00007D1F" w:rsidRDefault="00007D1F" w:rsidP="00A04803">
            <w:pPr>
              <w:pStyle w:val="FinancialsTableText"/>
              <w:jc w:val="center"/>
            </w:pPr>
            <w:r>
              <w:t>5A</w:t>
            </w:r>
          </w:p>
        </w:tc>
        <w:tc>
          <w:tcPr>
            <w:tcW w:w="1103" w:type="dxa"/>
            <w:tcBorders>
              <w:top w:val="single" w:sz="4" w:space="0" w:color="auto"/>
              <w:bottom w:val="single" w:sz="4" w:space="0" w:color="auto"/>
            </w:tcBorders>
            <w:vAlign w:val="bottom"/>
          </w:tcPr>
          <w:p w:rsidR="00007D1F" w:rsidRPr="00FF20AC" w:rsidRDefault="00007D1F" w:rsidP="00A04803">
            <w:pPr>
              <w:pStyle w:val="FinancialsTableText"/>
              <w:jc w:val="right"/>
              <w:rPr>
                <w:b/>
              </w:rPr>
            </w:pPr>
            <w:r w:rsidRPr="00FF20AC">
              <w:rPr>
                <w:b/>
              </w:rPr>
              <w:t xml:space="preserve"> 4,743 </w:t>
            </w:r>
          </w:p>
        </w:tc>
        <w:tc>
          <w:tcPr>
            <w:tcW w:w="1484" w:type="dxa"/>
            <w:tcBorders>
              <w:top w:val="single" w:sz="4" w:space="0" w:color="auto"/>
              <w:bottom w:val="single" w:sz="4" w:space="0" w:color="auto"/>
            </w:tcBorders>
            <w:vAlign w:val="bottom"/>
          </w:tcPr>
          <w:p w:rsidR="00007D1F" w:rsidRDefault="00007D1F" w:rsidP="00A04803">
            <w:pPr>
              <w:pStyle w:val="FinancialsTableText"/>
              <w:jc w:val="right"/>
            </w:pPr>
            <w:r>
              <w:t xml:space="preserve"> 313 </w:t>
            </w:r>
          </w:p>
        </w:tc>
        <w:tc>
          <w:tcPr>
            <w:tcW w:w="1442" w:type="dxa"/>
            <w:tcBorders>
              <w:top w:val="single" w:sz="4" w:space="0" w:color="auto"/>
              <w:bottom w:val="single" w:sz="4" w:space="0" w:color="auto"/>
            </w:tcBorders>
            <w:shd w:val="clear" w:color="auto" w:fill="E6E7E9"/>
            <w:vAlign w:val="bottom"/>
          </w:tcPr>
          <w:p w:rsidR="00007D1F" w:rsidRDefault="00007D1F" w:rsidP="00FF20AC">
            <w:pPr>
              <w:pStyle w:val="FinancialsTableText"/>
              <w:jc w:val="right"/>
            </w:pPr>
            <w:r>
              <w:t xml:space="preserve"> – </w:t>
            </w:r>
          </w:p>
        </w:tc>
      </w:tr>
    </w:tbl>
    <w:p w:rsidR="00A33C95" w:rsidRPr="00A33C95" w:rsidRDefault="00A33C95" w:rsidP="00A33C95">
      <w:pPr>
        <w:pStyle w:val="SourceNotesText"/>
        <w:rPr>
          <w:i/>
        </w:rPr>
      </w:pPr>
      <w:r w:rsidRPr="00A33C95">
        <w:rPr>
          <w:i/>
        </w:rPr>
        <w:t>The above statement should be read in conjunction with the accompanying notes</w:t>
      </w:r>
    </w:p>
    <w:p w:rsidR="00425FBA" w:rsidRDefault="00425FBA" w:rsidP="00A33C95">
      <w:r>
        <w:br w:type="page"/>
      </w:r>
    </w:p>
    <w:p w:rsidR="00A33C95" w:rsidRDefault="00A33C95" w:rsidP="00A33C95">
      <w:pPr>
        <w:pStyle w:val="FinancialsH2"/>
      </w:pPr>
      <w:bookmarkStart w:id="22" w:name="_Toc433193202"/>
      <w:r>
        <w:lastRenderedPageBreak/>
        <w:t>Schedule of commitments</w:t>
      </w:r>
      <w:bookmarkEnd w:id="22"/>
    </w:p>
    <w:p w:rsidR="00A33C95" w:rsidRDefault="00A33C95" w:rsidP="006C216F">
      <w:pPr>
        <w:spacing w:before="0" w:after="0"/>
      </w:pPr>
      <w:r>
        <w:t>as at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chedule of commitments as at 30 June 2015"/>
      </w:tblPr>
      <w:tblGrid>
        <w:gridCol w:w="4536"/>
        <w:gridCol w:w="1276"/>
        <w:gridCol w:w="1103"/>
        <w:gridCol w:w="1484"/>
        <w:gridCol w:w="1442"/>
      </w:tblGrid>
      <w:tr w:rsidR="006C216F" w:rsidRPr="008B164E" w:rsidTr="00E041F0">
        <w:trPr>
          <w:cnfStyle w:val="100000000000" w:firstRow="1" w:lastRow="0" w:firstColumn="0" w:lastColumn="0" w:oddVBand="0" w:evenVBand="0" w:oddHBand="0" w:evenHBand="0" w:firstRowFirstColumn="0" w:firstRowLastColumn="0" w:lastRowFirstColumn="0" w:lastRowLastColumn="0"/>
          <w:trHeight w:val="60"/>
        </w:trPr>
        <w:tc>
          <w:tcPr>
            <w:tcW w:w="4536" w:type="dxa"/>
            <w:tcBorders>
              <w:top w:val="nil"/>
              <w:bottom w:val="single" w:sz="4" w:space="0" w:color="auto"/>
            </w:tcBorders>
          </w:tcPr>
          <w:p w:rsidR="006C216F" w:rsidRPr="008B164E" w:rsidRDefault="006C216F" w:rsidP="005D1177">
            <w:pPr>
              <w:pStyle w:val="FinancialsTableText"/>
            </w:pPr>
          </w:p>
        </w:tc>
        <w:tc>
          <w:tcPr>
            <w:tcW w:w="1276" w:type="dxa"/>
            <w:tcBorders>
              <w:top w:val="nil"/>
              <w:bottom w:val="single" w:sz="4" w:space="0" w:color="auto"/>
            </w:tcBorders>
          </w:tcPr>
          <w:p w:rsidR="006C216F" w:rsidRDefault="006C216F" w:rsidP="00F618C4">
            <w:pPr>
              <w:pStyle w:val="FinancialsTableText"/>
              <w:jc w:val="center"/>
            </w:pPr>
            <w:r>
              <w:t>Notes</w:t>
            </w:r>
          </w:p>
        </w:tc>
        <w:tc>
          <w:tcPr>
            <w:tcW w:w="1103" w:type="dxa"/>
            <w:tcBorders>
              <w:top w:val="nil"/>
              <w:bottom w:val="single" w:sz="4" w:space="0" w:color="auto"/>
            </w:tcBorders>
            <w:vAlign w:val="top"/>
          </w:tcPr>
          <w:p w:rsidR="006C216F" w:rsidRPr="00F618C4" w:rsidRDefault="006C216F" w:rsidP="00E041F0">
            <w:pPr>
              <w:pStyle w:val="FinancialsTableText"/>
              <w:jc w:val="right"/>
            </w:pPr>
            <w:r w:rsidRPr="00F618C4">
              <w:t>2015</w:t>
            </w:r>
            <w:r w:rsidRPr="00F618C4">
              <w:br/>
            </w:r>
            <w:r w:rsidRPr="00E041F0">
              <w:rPr>
                <w:b w:val="0"/>
              </w:rPr>
              <w:t>$’000</w:t>
            </w:r>
            <w:r w:rsidRPr="00F618C4">
              <w:t xml:space="preserve"> </w:t>
            </w:r>
          </w:p>
        </w:tc>
        <w:tc>
          <w:tcPr>
            <w:tcW w:w="1484" w:type="dxa"/>
            <w:tcBorders>
              <w:top w:val="nil"/>
              <w:bottom w:val="single" w:sz="4" w:space="0" w:color="auto"/>
            </w:tcBorders>
            <w:vAlign w:val="top"/>
          </w:tcPr>
          <w:p w:rsidR="006C216F" w:rsidRDefault="006C216F" w:rsidP="00E041F0">
            <w:pPr>
              <w:pStyle w:val="FinancialsTableText"/>
              <w:jc w:val="right"/>
            </w:pPr>
            <w:r>
              <w:t>2014</w:t>
            </w:r>
            <w:r>
              <w:br/>
            </w:r>
            <w:r w:rsidRPr="008B164E">
              <w:rPr>
                <w:b w:val="0"/>
              </w:rPr>
              <w:t>$’000</w:t>
            </w:r>
            <w:r>
              <w:br/>
            </w:r>
            <w:r w:rsidRPr="008B164E">
              <w:rPr>
                <w:b w:val="0"/>
              </w:rPr>
              <w:t>Departmental</w:t>
            </w:r>
          </w:p>
        </w:tc>
        <w:tc>
          <w:tcPr>
            <w:tcW w:w="1442" w:type="dxa"/>
            <w:tcBorders>
              <w:top w:val="nil"/>
              <w:bottom w:val="single" w:sz="4" w:space="0" w:color="auto"/>
            </w:tcBorders>
            <w:shd w:val="clear" w:color="auto" w:fill="E6E7E9"/>
            <w:vAlign w:val="top"/>
          </w:tcPr>
          <w:p w:rsidR="006C216F" w:rsidRDefault="006C216F" w:rsidP="00E041F0">
            <w:pPr>
              <w:pStyle w:val="FinancialsTableText"/>
              <w:jc w:val="right"/>
            </w:pPr>
            <w:r>
              <w:t>2014</w:t>
            </w:r>
            <w:r>
              <w:br/>
            </w:r>
            <w:r w:rsidRPr="008B164E">
              <w:rPr>
                <w:b w:val="0"/>
              </w:rPr>
              <w:t>$’000</w:t>
            </w:r>
            <w:r>
              <w:br/>
            </w:r>
            <w:r w:rsidRPr="008B164E">
              <w:rPr>
                <w:b w:val="0"/>
              </w:rPr>
              <w:t>Administered</w:t>
            </w: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H1"/>
            </w:pPr>
            <w:r>
              <w:t>By type</w:t>
            </w:r>
          </w:p>
        </w:tc>
        <w:tc>
          <w:tcPr>
            <w:tcW w:w="1276" w:type="dxa"/>
            <w:tcBorders>
              <w:top w:val="single" w:sz="4" w:space="0" w:color="auto"/>
              <w:bottom w:val="single" w:sz="4" w:space="0" w:color="auto"/>
            </w:tcBorders>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tcPr>
          <w:p w:rsidR="006C216F" w:rsidRPr="00F618C4" w:rsidRDefault="006C216F" w:rsidP="00F618C4">
            <w:pPr>
              <w:pStyle w:val="FinancialsTableText"/>
              <w:jc w:val="right"/>
            </w:pP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H2"/>
            </w:pPr>
            <w:r w:rsidRPr="00F618C4">
              <w:t>Commitments receivable</w:t>
            </w:r>
          </w:p>
        </w:tc>
        <w:tc>
          <w:tcPr>
            <w:tcW w:w="1276" w:type="dxa"/>
            <w:tcBorders>
              <w:top w:val="single" w:sz="4" w:space="0" w:color="auto"/>
              <w:bottom w:val="single" w:sz="4" w:space="0" w:color="auto"/>
            </w:tcBorders>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tcPr>
          <w:p w:rsidR="006C216F" w:rsidRPr="00F618C4" w:rsidRDefault="006C216F"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
            </w:pPr>
            <w:r>
              <w:t>Net GST recoverable on commitments</w:t>
            </w:r>
            <w:r>
              <w:rPr>
                <w:vertAlign w:val="superscript"/>
              </w:rPr>
              <w:t>1</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1,448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276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1,312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Total commitments receivable</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1,448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276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1,312 </w:t>
            </w: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H2"/>
            </w:pPr>
            <w:r w:rsidRPr="00F618C4">
              <w:t>Commitments payable</w:t>
            </w:r>
          </w:p>
        </w:tc>
        <w:tc>
          <w:tcPr>
            <w:tcW w:w="1276" w:type="dxa"/>
            <w:tcBorders>
              <w:top w:val="single" w:sz="4" w:space="0" w:color="auto"/>
              <w:bottom w:val="single" w:sz="4" w:space="0" w:color="auto"/>
            </w:tcBorders>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tcPr>
          <w:p w:rsidR="006C216F" w:rsidRPr="00F618C4" w:rsidRDefault="006C216F" w:rsidP="00F618C4">
            <w:pPr>
              <w:pStyle w:val="FinancialsTableText"/>
              <w:jc w:val="right"/>
            </w:pP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Text"/>
            </w:pPr>
            <w:r w:rsidRPr="00F618C4">
              <w:t>Other commitments</w:t>
            </w:r>
          </w:p>
        </w:tc>
        <w:tc>
          <w:tcPr>
            <w:tcW w:w="1276" w:type="dxa"/>
            <w:tcBorders>
              <w:top w:val="single" w:sz="4" w:space="0" w:color="auto"/>
              <w:bottom w:val="single" w:sz="4" w:space="0" w:color="auto"/>
            </w:tcBorders>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tcPr>
          <w:p w:rsidR="006C216F" w:rsidRPr="00F618C4" w:rsidRDefault="006C216F"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Operating leases</w:t>
            </w:r>
            <w:r>
              <w:rPr>
                <w:vertAlign w:val="superscript"/>
              </w:rPr>
              <w:t>2</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1,859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2,421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 </w:t>
            </w: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Goods and services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14,595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612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14,886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Total commitments payable</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16,454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3,033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14,886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Net commitments by type</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15,006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2,757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13,574 </w:t>
            </w: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H1"/>
            </w:pPr>
            <w:r w:rsidRPr="00F618C4">
              <w:t>By maturity</w:t>
            </w:r>
          </w:p>
        </w:tc>
        <w:tc>
          <w:tcPr>
            <w:tcW w:w="1276" w:type="dxa"/>
            <w:tcBorders>
              <w:top w:val="single" w:sz="4" w:space="0" w:color="auto"/>
              <w:bottom w:val="single" w:sz="4" w:space="0" w:color="auto"/>
            </w:tcBorders>
            <w:vAlign w:val="bottom"/>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vAlign w:val="bottom"/>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vAlign w:val="bottom"/>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vAlign w:val="bottom"/>
          </w:tcPr>
          <w:p w:rsidR="006C216F" w:rsidRPr="00F618C4" w:rsidRDefault="006C216F" w:rsidP="00F618C4">
            <w:pPr>
              <w:pStyle w:val="FinancialsTableText"/>
              <w:jc w:val="right"/>
            </w:pPr>
          </w:p>
        </w:tc>
      </w:tr>
      <w:tr w:rsidR="006C216F" w:rsidRPr="008B164E" w:rsidTr="00F618C4">
        <w:trPr>
          <w:trHeight w:val="60"/>
        </w:trPr>
        <w:tc>
          <w:tcPr>
            <w:tcW w:w="4536" w:type="dxa"/>
            <w:tcBorders>
              <w:top w:val="single" w:sz="4" w:space="0" w:color="auto"/>
              <w:bottom w:val="single" w:sz="4" w:space="0" w:color="auto"/>
            </w:tcBorders>
          </w:tcPr>
          <w:p w:rsidR="006C216F" w:rsidRPr="00F618C4" w:rsidRDefault="00F618C4" w:rsidP="00F618C4">
            <w:pPr>
              <w:pStyle w:val="FinancialsTableH2"/>
            </w:pPr>
            <w:r w:rsidRPr="00F618C4">
              <w:t>Commitments receivable</w:t>
            </w:r>
          </w:p>
        </w:tc>
        <w:tc>
          <w:tcPr>
            <w:tcW w:w="1276" w:type="dxa"/>
            <w:tcBorders>
              <w:top w:val="single" w:sz="4" w:space="0" w:color="auto"/>
              <w:bottom w:val="single" w:sz="4" w:space="0" w:color="auto"/>
            </w:tcBorders>
            <w:vAlign w:val="bottom"/>
          </w:tcPr>
          <w:p w:rsidR="006C216F" w:rsidRPr="00F618C4" w:rsidRDefault="006C216F" w:rsidP="00F618C4">
            <w:pPr>
              <w:pStyle w:val="FinancialsTableText"/>
              <w:jc w:val="center"/>
            </w:pPr>
          </w:p>
        </w:tc>
        <w:tc>
          <w:tcPr>
            <w:tcW w:w="1103" w:type="dxa"/>
            <w:tcBorders>
              <w:top w:val="single" w:sz="4" w:space="0" w:color="auto"/>
              <w:bottom w:val="single" w:sz="4" w:space="0" w:color="auto"/>
            </w:tcBorders>
            <w:vAlign w:val="bottom"/>
          </w:tcPr>
          <w:p w:rsidR="006C216F" w:rsidRPr="00F618C4" w:rsidRDefault="006C216F" w:rsidP="00F618C4">
            <w:pPr>
              <w:pStyle w:val="FinancialsTableText"/>
              <w:jc w:val="right"/>
              <w:rPr>
                <w:b/>
              </w:rPr>
            </w:pPr>
          </w:p>
        </w:tc>
        <w:tc>
          <w:tcPr>
            <w:tcW w:w="1484" w:type="dxa"/>
            <w:tcBorders>
              <w:top w:val="single" w:sz="4" w:space="0" w:color="auto"/>
              <w:bottom w:val="single" w:sz="4" w:space="0" w:color="auto"/>
            </w:tcBorders>
            <w:vAlign w:val="bottom"/>
          </w:tcPr>
          <w:p w:rsidR="006C216F" w:rsidRPr="00F618C4" w:rsidRDefault="006C216F" w:rsidP="00F618C4">
            <w:pPr>
              <w:pStyle w:val="FinancialsTableText"/>
              <w:jc w:val="right"/>
            </w:pPr>
          </w:p>
        </w:tc>
        <w:tc>
          <w:tcPr>
            <w:tcW w:w="1442" w:type="dxa"/>
            <w:tcBorders>
              <w:top w:val="single" w:sz="4" w:space="0" w:color="auto"/>
              <w:bottom w:val="single" w:sz="4" w:space="0" w:color="auto"/>
            </w:tcBorders>
            <w:shd w:val="clear" w:color="auto" w:fill="E6E7E9"/>
            <w:vAlign w:val="bottom"/>
          </w:tcPr>
          <w:p w:rsidR="006C216F" w:rsidRPr="00F618C4" w:rsidRDefault="006C216F"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
            </w:pPr>
            <w:r>
              <w:t>Net GST recoverable on commitments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p>
        </w:tc>
        <w:tc>
          <w:tcPr>
            <w:tcW w:w="1484" w:type="dxa"/>
            <w:tcBorders>
              <w:top w:val="single" w:sz="4" w:space="0" w:color="auto"/>
              <w:bottom w:val="single" w:sz="4" w:space="0" w:color="auto"/>
            </w:tcBorders>
          </w:tcPr>
          <w:p w:rsidR="00F618C4" w:rsidRDefault="00F618C4" w:rsidP="00F618C4">
            <w:pPr>
              <w:pStyle w:val="FinancialsTableText"/>
              <w:jc w:val="right"/>
            </w:pP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Indented"/>
            </w:pPr>
            <w:r w:rsidRPr="00F618C4">
              <w:t>Within 1 year</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798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114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653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Indented"/>
            </w:pPr>
            <w:r w:rsidRPr="00F618C4">
              <w:t>Between 1 to 5 years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650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162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658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Total other commitments receivable</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1,448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276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1,311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H2"/>
            </w:pPr>
            <w:r w:rsidRPr="00F618C4">
              <w:t>Commitments payable</w:t>
            </w:r>
          </w:p>
        </w:tc>
        <w:tc>
          <w:tcPr>
            <w:tcW w:w="1276" w:type="dxa"/>
            <w:tcBorders>
              <w:top w:val="single" w:sz="4" w:space="0" w:color="auto"/>
              <w:bottom w:val="single" w:sz="4" w:space="0" w:color="auto"/>
            </w:tcBorders>
            <w:vAlign w:val="bottom"/>
          </w:tcPr>
          <w:p w:rsidR="00F618C4" w:rsidRPr="00F618C4" w:rsidRDefault="00F618C4" w:rsidP="00F618C4">
            <w:pPr>
              <w:pStyle w:val="FinancialsTableText"/>
              <w:jc w:val="center"/>
            </w:pPr>
          </w:p>
        </w:tc>
        <w:tc>
          <w:tcPr>
            <w:tcW w:w="1103" w:type="dxa"/>
            <w:tcBorders>
              <w:top w:val="single" w:sz="4" w:space="0" w:color="auto"/>
              <w:bottom w:val="single" w:sz="4" w:space="0" w:color="auto"/>
            </w:tcBorders>
            <w:vAlign w:val="bottom"/>
          </w:tcPr>
          <w:p w:rsidR="00F618C4" w:rsidRPr="00F618C4" w:rsidRDefault="00F618C4" w:rsidP="00F618C4">
            <w:pPr>
              <w:pStyle w:val="FinancialsTableText"/>
              <w:jc w:val="right"/>
              <w:rPr>
                <w:b/>
              </w:rPr>
            </w:pPr>
          </w:p>
        </w:tc>
        <w:tc>
          <w:tcPr>
            <w:tcW w:w="1484" w:type="dxa"/>
            <w:tcBorders>
              <w:top w:val="single" w:sz="4" w:space="0" w:color="auto"/>
              <w:bottom w:val="single" w:sz="4" w:space="0" w:color="auto"/>
            </w:tcBorders>
            <w:vAlign w:val="bottom"/>
          </w:tcPr>
          <w:p w:rsidR="00F618C4" w:rsidRPr="00F618C4" w:rsidRDefault="00F618C4" w:rsidP="00F618C4">
            <w:pPr>
              <w:pStyle w:val="FinancialsTableText"/>
              <w:jc w:val="right"/>
            </w:pPr>
          </w:p>
        </w:tc>
        <w:tc>
          <w:tcPr>
            <w:tcW w:w="1442" w:type="dxa"/>
            <w:tcBorders>
              <w:top w:val="single" w:sz="4" w:space="0" w:color="auto"/>
              <w:bottom w:val="single" w:sz="4" w:space="0" w:color="auto"/>
            </w:tcBorders>
            <w:shd w:val="clear" w:color="auto" w:fill="E6E7E9"/>
            <w:vAlign w:val="bottom"/>
          </w:tcPr>
          <w:p w:rsidR="00F618C4" w:rsidRPr="00F618C4" w:rsidRDefault="00F618C4"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pPr>
            <w:r w:rsidRPr="00F618C4">
              <w:t>Operating lease commitments</w:t>
            </w:r>
          </w:p>
        </w:tc>
        <w:tc>
          <w:tcPr>
            <w:tcW w:w="1276" w:type="dxa"/>
            <w:tcBorders>
              <w:top w:val="single" w:sz="4" w:space="0" w:color="auto"/>
              <w:bottom w:val="single" w:sz="4" w:space="0" w:color="auto"/>
            </w:tcBorders>
            <w:vAlign w:val="bottom"/>
          </w:tcPr>
          <w:p w:rsidR="00F618C4" w:rsidRPr="00F618C4" w:rsidRDefault="00F618C4" w:rsidP="00F618C4">
            <w:pPr>
              <w:pStyle w:val="FinancialsTableText"/>
              <w:jc w:val="center"/>
            </w:pPr>
          </w:p>
        </w:tc>
        <w:tc>
          <w:tcPr>
            <w:tcW w:w="1103" w:type="dxa"/>
            <w:tcBorders>
              <w:top w:val="single" w:sz="4" w:space="0" w:color="auto"/>
              <w:bottom w:val="single" w:sz="4" w:space="0" w:color="auto"/>
            </w:tcBorders>
            <w:vAlign w:val="bottom"/>
          </w:tcPr>
          <w:p w:rsidR="00F618C4" w:rsidRPr="00F618C4" w:rsidRDefault="00F618C4" w:rsidP="00F618C4">
            <w:pPr>
              <w:pStyle w:val="FinancialsTableText"/>
              <w:jc w:val="right"/>
              <w:rPr>
                <w:b/>
              </w:rPr>
            </w:pPr>
          </w:p>
        </w:tc>
        <w:tc>
          <w:tcPr>
            <w:tcW w:w="1484" w:type="dxa"/>
            <w:tcBorders>
              <w:top w:val="single" w:sz="4" w:space="0" w:color="auto"/>
              <w:bottom w:val="single" w:sz="4" w:space="0" w:color="auto"/>
            </w:tcBorders>
            <w:vAlign w:val="bottom"/>
          </w:tcPr>
          <w:p w:rsidR="00F618C4" w:rsidRPr="00F618C4" w:rsidRDefault="00F618C4" w:rsidP="00F618C4">
            <w:pPr>
              <w:pStyle w:val="FinancialsTableText"/>
              <w:jc w:val="right"/>
            </w:pPr>
          </w:p>
        </w:tc>
        <w:tc>
          <w:tcPr>
            <w:tcW w:w="1442" w:type="dxa"/>
            <w:tcBorders>
              <w:top w:val="single" w:sz="4" w:space="0" w:color="auto"/>
              <w:bottom w:val="single" w:sz="4" w:space="0" w:color="auto"/>
            </w:tcBorders>
            <w:shd w:val="clear" w:color="auto" w:fill="E6E7E9"/>
            <w:vAlign w:val="bottom"/>
          </w:tcPr>
          <w:p w:rsidR="00F618C4" w:rsidRPr="00F618C4" w:rsidRDefault="00F618C4"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Within 1 year</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628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642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 </w:t>
            </w: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Between 1 to 5 years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1,231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1,779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Total operating lease commitments</w:t>
            </w:r>
            <w:r w:rsidRPr="00F618C4">
              <w:rPr>
                <w:b/>
                <w:vertAlign w:val="superscript"/>
              </w:rPr>
              <w:t>2</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1,859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2,421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H2"/>
            </w:pPr>
            <w:r w:rsidRPr="00F618C4">
              <w:t>Goods and Services</w:t>
            </w:r>
          </w:p>
        </w:tc>
        <w:tc>
          <w:tcPr>
            <w:tcW w:w="1276" w:type="dxa"/>
            <w:tcBorders>
              <w:top w:val="single" w:sz="4" w:space="0" w:color="auto"/>
              <w:bottom w:val="single" w:sz="4" w:space="0" w:color="auto"/>
            </w:tcBorders>
            <w:vAlign w:val="bottom"/>
          </w:tcPr>
          <w:p w:rsidR="00F618C4" w:rsidRPr="00F618C4" w:rsidRDefault="00F618C4" w:rsidP="00F618C4">
            <w:pPr>
              <w:pStyle w:val="FinancialsTableText"/>
              <w:jc w:val="center"/>
            </w:pPr>
          </w:p>
        </w:tc>
        <w:tc>
          <w:tcPr>
            <w:tcW w:w="1103" w:type="dxa"/>
            <w:tcBorders>
              <w:top w:val="single" w:sz="4" w:space="0" w:color="auto"/>
              <w:bottom w:val="single" w:sz="4" w:space="0" w:color="auto"/>
            </w:tcBorders>
            <w:vAlign w:val="bottom"/>
          </w:tcPr>
          <w:p w:rsidR="00F618C4" w:rsidRPr="00F618C4" w:rsidRDefault="00F618C4" w:rsidP="00F618C4">
            <w:pPr>
              <w:pStyle w:val="FinancialsTableText"/>
              <w:jc w:val="right"/>
              <w:rPr>
                <w:b/>
              </w:rPr>
            </w:pPr>
          </w:p>
        </w:tc>
        <w:tc>
          <w:tcPr>
            <w:tcW w:w="1484" w:type="dxa"/>
            <w:tcBorders>
              <w:top w:val="single" w:sz="4" w:space="0" w:color="auto"/>
              <w:bottom w:val="single" w:sz="4" w:space="0" w:color="auto"/>
            </w:tcBorders>
            <w:vAlign w:val="bottom"/>
          </w:tcPr>
          <w:p w:rsidR="00F618C4" w:rsidRPr="00F618C4" w:rsidRDefault="00F618C4" w:rsidP="00F618C4">
            <w:pPr>
              <w:pStyle w:val="FinancialsTableText"/>
              <w:jc w:val="right"/>
            </w:pPr>
          </w:p>
        </w:tc>
        <w:tc>
          <w:tcPr>
            <w:tcW w:w="1442" w:type="dxa"/>
            <w:tcBorders>
              <w:top w:val="single" w:sz="4" w:space="0" w:color="auto"/>
              <w:bottom w:val="single" w:sz="4" w:space="0" w:color="auto"/>
            </w:tcBorders>
            <w:shd w:val="clear" w:color="auto" w:fill="E6E7E9"/>
            <w:vAlign w:val="bottom"/>
          </w:tcPr>
          <w:p w:rsidR="00F618C4" w:rsidRPr="00F618C4" w:rsidRDefault="00F618C4" w:rsidP="00F618C4">
            <w:pPr>
              <w:pStyle w:val="FinancialsTableText"/>
              <w:jc w:val="right"/>
            </w:pP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Within 1 year</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8,695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612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7,645 </w:t>
            </w:r>
          </w:p>
        </w:tc>
      </w:tr>
      <w:tr w:rsidR="00F618C4" w:rsidRPr="008B164E" w:rsidTr="00F618C4">
        <w:trPr>
          <w:trHeight w:val="60"/>
        </w:trPr>
        <w:tc>
          <w:tcPr>
            <w:tcW w:w="4536" w:type="dxa"/>
            <w:tcBorders>
              <w:top w:val="single" w:sz="4" w:space="0" w:color="auto"/>
              <w:bottom w:val="single" w:sz="4" w:space="0" w:color="auto"/>
            </w:tcBorders>
          </w:tcPr>
          <w:p w:rsidR="00F618C4" w:rsidRDefault="00F618C4" w:rsidP="00F618C4">
            <w:pPr>
              <w:pStyle w:val="FinancialsTableTextIndented"/>
            </w:pPr>
            <w:r>
              <w:t>Between 1 to 5 years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5,900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7,241 </w:t>
            </w:r>
          </w:p>
        </w:tc>
      </w:tr>
      <w:tr w:rsidR="00F618C4" w:rsidRPr="008B164E" w:rsidTr="00F618C4">
        <w:trPr>
          <w:trHeight w:val="60"/>
        </w:trPr>
        <w:tc>
          <w:tcPr>
            <w:tcW w:w="4536" w:type="dxa"/>
            <w:tcBorders>
              <w:top w:val="single" w:sz="4" w:space="0" w:color="auto"/>
              <w:bottom w:val="single" w:sz="4" w:space="0" w:color="auto"/>
            </w:tcBorders>
          </w:tcPr>
          <w:p w:rsidR="00F618C4" w:rsidRPr="00A221F7" w:rsidRDefault="00F618C4" w:rsidP="00A221F7">
            <w:pPr>
              <w:pStyle w:val="FinancialsTableText"/>
              <w:rPr>
                <w:rStyle w:val="Strong"/>
              </w:rPr>
            </w:pPr>
            <w:r w:rsidRPr="00A221F7">
              <w:rPr>
                <w:rStyle w:val="Strong"/>
              </w:rPr>
              <w:t>Total commitments payable</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14,595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612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14,886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Total other commitments</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16,454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3,033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14,886 </w:t>
            </w:r>
          </w:p>
        </w:tc>
      </w:tr>
      <w:tr w:rsidR="00F618C4" w:rsidRPr="008B164E" w:rsidTr="00F618C4">
        <w:trPr>
          <w:trHeight w:val="60"/>
        </w:trPr>
        <w:tc>
          <w:tcPr>
            <w:tcW w:w="4536" w:type="dxa"/>
            <w:tcBorders>
              <w:top w:val="single" w:sz="4" w:space="0" w:color="auto"/>
              <w:bottom w:val="single" w:sz="4" w:space="0" w:color="auto"/>
            </w:tcBorders>
          </w:tcPr>
          <w:p w:rsidR="00F618C4" w:rsidRPr="00F618C4" w:rsidRDefault="00F618C4" w:rsidP="00F618C4">
            <w:pPr>
              <w:pStyle w:val="FinancialsTableText"/>
              <w:rPr>
                <w:b/>
              </w:rPr>
            </w:pPr>
            <w:r w:rsidRPr="00F618C4">
              <w:rPr>
                <w:b/>
              </w:rPr>
              <w:t>Net commitments by maturity</w:t>
            </w:r>
          </w:p>
        </w:tc>
        <w:tc>
          <w:tcPr>
            <w:tcW w:w="1276" w:type="dxa"/>
            <w:tcBorders>
              <w:top w:val="single" w:sz="4" w:space="0" w:color="auto"/>
              <w:bottom w:val="single" w:sz="4" w:space="0" w:color="auto"/>
            </w:tcBorders>
          </w:tcPr>
          <w:p w:rsidR="00F618C4" w:rsidRDefault="00F618C4" w:rsidP="00F618C4">
            <w:pPr>
              <w:pStyle w:val="FinancialsTableText"/>
              <w:jc w:val="center"/>
            </w:pPr>
          </w:p>
        </w:tc>
        <w:tc>
          <w:tcPr>
            <w:tcW w:w="1103" w:type="dxa"/>
            <w:tcBorders>
              <w:top w:val="single" w:sz="4" w:space="0" w:color="auto"/>
              <w:bottom w:val="single" w:sz="4" w:space="0" w:color="auto"/>
            </w:tcBorders>
          </w:tcPr>
          <w:p w:rsidR="00F618C4" w:rsidRPr="00F618C4" w:rsidRDefault="00F618C4" w:rsidP="00F618C4">
            <w:pPr>
              <w:pStyle w:val="FinancialsTableText"/>
              <w:jc w:val="right"/>
              <w:rPr>
                <w:b/>
              </w:rPr>
            </w:pPr>
            <w:r w:rsidRPr="00F618C4">
              <w:rPr>
                <w:b/>
              </w:rPr>
              <w:t xml:space="preserve"> 15,006 </w:t>
            </w:r>
          </w:p>
        </w:tc>
        <w:tc>
          <w:tcPr>
            <w:tcW w:w="1484" w:type="dxa"/>
            <w:tcBorders>
              <w:top w:val="single" w:sz="4" w:space="0" w:color="auto"/>
              <w:bottom w:val="single" w:sz="4" w:space="0" w:color="auto"/>
            </w:tcBorders>
          </w:tcPr>
          <w:p w:rsidR="00F618C4" w:rsidRDefault="00F618C4" w:rsidP="00F618C4">
            <w:pPr>
              <w:pStyle w:val="FinancialsTableText"/>
              <w:jc w:val="right"/>
            </w:pPr>
            <w:r>
              <w:t xml:space="preserve"> 2,757 </w:t>
            </w:r>
          </w:p>
        </w:tc>
        <w:tc>
          <w:tcPr>
            <w:tcW w:w="1442" w:type="dxa"/>
            <w:tcBorders>
              <w:top w:val="single" w:sz="4" w:space="0" w:color="auto"/>
              <w:bottom w:val="single" w:sz="4" w:space="0" w:color="auto"/>
            </w:tcBorders>
            <w:shd w:val="clear" w:color="auto" w:fill="E6E7E9"/>
          </w:tcPr>
          <w:p w:rsidR="00F618C4" w:rsidRDefault="00F618C4" w:rsidP="00F618C4">
            <w:pPr>
              <w:pStyle w:val="FinancialsTableText"/>
              <w:jc w:val="right"/>
            </w:pPr>
            <w:r>
              <w:t xml:space="preserve"> 13,575 </w:t>
            </w:r>
          </w:p>
        </w:tc>
      </w:tr>
    </w:tbl>
    <w:p w:rsidR="00A33C95" w:rsidRPr="00A33C95" w:rsidRDefault="00A33C95" w:rsidP="00A33C95">
      <w:pPr>
        <w:pStyle w:val="SourceNotesText"/>
        <w:spacing w:after="0"/>
        <w:rPr>
          <w:b/>
          <w:lang w:val="en-GB"/>
        </w:rPr>
      </w:pPr>
      <w:r w:rsidRPr="00A33C95">
        <w:rPr>
          <w:b/>
          <w:lang w:val="en-GB"/>
        </w:rPr>
        <w:t>Notes</w:t>
      </w:r>
    </w:p>
    <w:p w:rsidR="00A33C95" w:rsidRPr="00A33C95" w:rsidRDefault="00A33C95" w:rsidP="00A33C95">
      <w:pPr>
        <w:pStyle w:val="SourceNotesText"/>
        <w:spacing w:before="0" w:after="0"/>
        <w:rPr>
          <w:lang w:val="en-GB"/>
        </w:rPr>
      </w:pPr>
      <w:r w:rsidRPr="00A33C95">
        <w:rPr>
          <w:lang w:val="en-GB"/>
        </w:rPr>
        <w:t>1. Commitments are GST inclusive where relevant.</w:t>
      </w:r>
    </w:p>
    <w:p w:rsidR="00A33C95" w:rsidRPr="00A33C95" w:rsidRDefault="00A33C95" w:rsidP="00A33C95">
      <w:pPr>
        <w:pStyle w:val="SourceNotesText"/>
        <w:spacing w:before="0" w:after="0"/>
        <w:rPr>
          <w:lang w:val="en-GB"/>
        </w:rPr>
      </w:pPr>
      <w:r w:rsidRPr="00A33C95">
        <w:rPr>
          <w:lang w:val="en-GB"/>
        </w:rPr>
        <w:t>2. Forward commitments for an office lease that are subject to an annual cost increase and not able to be cancelled.</w:t>
      </w:r>
    </w:p>
    <w:p w:rsidR="00A33C95" w:rsidRDefault="00A33C95" w:rsidP="006C216F">
      <w:pPr>
        <w:pStyle w:val="SourceNotesText"/>
      </w:pPr>
      <w:r w:rsidRPr="00A33C95">
        <w:rPr>
          <w:i/>
          <w:iCs/>
          <w:lang w:val="en-GB"/>
        </w:rPr>
        <w:t>The above statement should be read in conjunction with the accompanying notes</w:t>
      </w:r>
    </w:p>
    <w:p w:rsidR="00425FBA" w:rsidRDefault="00425FBA" w:rsidP="00A33C95">
      <w:r>
        <w:br w:type="page"/>
      </w:r>
    </w:p>
    <w:p w:rsidR="00A33C95" w:rsidRPr="00A33C95" w:rsidRDefault="00A33C95" w:rsidP="00C67C4C">
      <w:pPr>
        <w:pStyle w:val="FinancialsH1"/>
        <w:spacing w:after="0"/>
        <w:rPr>
          <w:lang w:val="en-GB"/>
        </w:rPr>
      </w:pPr>
      <w:bookmarkStart w:id="23" w:name="_Toc433193203"/>
      <w:r w:rsidRPr="00A33C95">
        <w:rPr>
          <w:lang w:val="en-GB"/>
        </w:rPr>
        <w:lastRenderedPageBreak/>
        <w:t>Notes to and forming par</w:t>
      </w:r>
      <w:r w:rsidR="00C67C4C">
        <w:rPr>
          <w:lang w:val="en-GB"/>
        </w:rPr>
        <w:t xml:space="preserve">t </w:t>
      </w:r>
      <w:r w:rsidRPr="00A33C95">
        <w:rPr>
          <w:lang w:val="en-GB"/>
        </w:rPr>
        <w:t>of the financial statements</w:t>
      </w:r>
      <w:bookmarkEnd w:id="23"/>
    </w:p>
    <w:p w:rsidR="00A33C95" w:rsidRPr="00A33C95" w:rsidRDefault="00A33C95" w:rsidP="00A33C95">
      <w:pPr>
        <w:spacing w:before="0"/>
        <w:rPr>
          <w:lang w:val="en-GB"/>
        </w:rPr>
      </w:pPr>
      <w:r w:rsidRPr="00A33C95">
        <w:rPr>
          <w:lang w:val="en-GB"/>
        </w:rPr>
        <w:t>for the year ended 30 June 2015</w:t>
      </w:r>
    </w:p>
    <w:p w:rsidR="00A33C95" w:rsidRPr="00A33C95" w:rsidRDefault="00A33C95" w:rsidP="00A00568">
      <w:pPr>
        <w:pStyle w:val="FinancialsH2"/>
      </w:pPr>
      <w:bookmarkStart w:id="24" w:name="_Toc433193204"/>
      <w:r w:rsidRPr="00A33C95">
        <w:t>Note 1: Summary of significant accounting policies</w:t>
      </w:r>
      <w:bookmarkEnd w:id="24"/>
    </w:p>
    <w:p w:rsidR="00A33C95" w:rsidRPr="00A33C95" w:rsidRDefault="00A33C95" w:rsidP="00A33C95">
      <w:pPr>
        <w:rPr>
          <w:lang w:val="en-GB"/>
        </w:rPr>
      </w:pPr>
      <w:r w:rsidRPr="00A33C95">
        <w:rPr>
          <w:lang w:val="en-GB"/>
        </w:rPr>
        <w:t>1.1</w:t>
      </w:r>
      <w:r w:rsidRPr="00A33C95">
        <w:rPr>
          <w:lang w:val="en-GB"/>
        </w:rPr>
        <w:tab/>
        <w:t>Objectives of the Independent Hospital Pricing Authority</w:t>
      </w:r>
    </w:p>
    <w:p w:rsidR="00A33C95" w:rsidRPr="00A33C95" w:rsidRDefault="00A33C95" w:rsidP="00A33C95">
      <w:pPr>
        <w:rPr>
          <w:lang w:val="en-GB"/>
        </w:rPr>
      </w:pPr>
      <w:r w:rsidRPr="00A33C95">
        <w:rPr>
          <w:lang w:val="en-GB"/>
        </w:rPr>
        <w:t>1.2</w:t>
      </w:r>
      <w:r w:rsidRPr="00A33C95">
        <w:rPr>
          <w:lang w:val="en-GB"/>
        </w:rPr>
        <w:tab/>
        <w:t>Basis of preparation of the Financial Statements</w:t>
      </w:r>
    </w:p>
    <w:p w:rsidR="00A33C95" w:rsidRPr="00A33C95" w:rsidRDefault="00A33C95" w:rsidP="00A33C95">
      <w:pPr>
        <w:rPr>
          <w:lang w:val="en-GB"/>
        </w:rPr>
      </w:pPr>
      <w:r w:rsidRPr="00A33C95">
        <w:rPr>
          <w:lang w:val="en-GB"/>
        </w:rPr>
        <w:t>1.3</w:t>
      </w:r>
      <w:r w:rsidRPr="00A33C95">
        <w:rPr>
          <w:lang w:val="en-GB"/>
        </w:rPr>
        <w:tab/>
        <w:t>Significant accounting judgements and estimates</w:t>
      </w:r>
    </w:p>
    <w:p w:rsidR="00A33C95" w:rsidRPr="00A33C95" w:rsidRDefault="00A33C95" w:rsidP="00A33C95">
      <w:pPr>
        <w:rPr>
          <w:lang w:val="en-GB"/>
        </w:rPr>
      </w:pPr>
      <w:r w:rsidRPr="00A33C95">
        <w:rPr>
          <w:lang w:val="en-GB"/>
        </w:rPr>
        <w:t>1.4</w:t>
      </w:r>
      <w:r w:rsidRPr="00A33C95">
        <w:rPr>
          <w:lang w:val="en-GB"/>
        </w:rPr>
        <w:tab/>
        <w:t>New Australian accounting standards</w:t>
      </w:r>
    </w:p>
    <w:p w:rsidR="00A33C95" w:rsidRPr="00A33C95" w:rsidRDefault="00A33C95" w:rsidP="00A33C95">
      <w:pPr>
        <w:rPr>
          <w:lang w:val="en-GB"/>
        </w:rPr>
      </w:pPr>
      <w:r w:rsidRPr="00A33C95">
        <w:rPr>
          <w:lang w:val="en-GB"/>
        </w:rPr>
        <w:t>1.5</w:t>
      </w:r>
      <w:r w:rsidRPr="00A33C95">
        <w:rPr>
          <w:lang w:val="en-GB"/>
        </w:rPr>
        <w:tab/>
        <w:t>Revenue</w:t>
      </w:r>
    </w:p>
    <w:p w:rsidR="00A33C95" w:rsidRPr="00A33C95" w:rsidRDefault="00A33C95" w:rsidP="00A33C95">
      <w:pPr>
        <w:rPr>
          <w:lang w:val="en-GB"/>
        </w:rPr>
      </w:pPr>
      <w:r w:rsidRPr="00A33C95">
        <w:rPr>
          <w:lang w:val="en-GB"/>
        </w:rPr>
        <w:t>1.6</w:t>
      </w:r>
      <w:r w:rsidRPr="00A33C95">
        <w:rPr>
          <w:lang w:val="en-GB"/>
        </w:rPr>
        <w:tab/>
        <w:t>Gains</w:t>
      </w:r>
    </w:p>
    <w:p w:rsidR="00A33C95" w:rsidRPr="00A33C95" w:rsidRDefault="00A33C95" w:rsidP="00A33C95">
      <w:pPr>
        <w:rPr>
          <w:lang w:val="en-GB"/>
        </w:rPr>
      </w:pPr>
      <w:r w:rsidRPr="00A33C95">
        <w:rPr>
          <w:lang w:val="en-GB"/>
        </w:rPr>
        <w:t>1.7</w:t>
      </w:r>
      <w:r w:rsidR="00603261">
        <w:rPr>
          <w:lang w:val="en-GB"/>
        </w:rPr>
        <w:tab/>
      </w:r>
      <w:r w:rsidRPr="00A33C95">
        <w:rPr>
          <w:lang w:val="en-GB"/>
        </w:rPr>
        <w:t>Transactions with the Government as owner</w:t>
      </w:r>
    </w:p>
    <w:p w:rsidR="00A33C95" w:rsidRPr="00A33C95" w:rsidRDefault="00A33C95" w:rsidP="00A33C95">
      <w:pPr>
        <w:rPr>
          <w:lang w:val="en-GB"/>
        </w:rPr>
      </w:pPr>
      <w:r w:rsidRPr="00A33C95">
        <w:rPr>
          <w:lang w:val="en-GB"/>
        </w:rPr>
        <w:t>1.8</w:t>
      </w:r>
      <w:r w:rsidRPr="00A33C95">
        <w:rPr>
          <w:lang w:val="en-GB"/>
        </w:rPr>
        <w:tab/>
        <w:t>Employee benefits</w:t>
      </w:r>
    </w:p>
    <w:p w:rsidR="00A33C95" w:rsidRPr="00A33C95" w:rsidRDefault="00A33C95" w:rsidP="00A33C95">
      <w:pPr>
        <w:rPr>
          <w:lang w:val="en-GB"/>
        </w:rPr>
      </w:pPr>
      <w:r w:rsidRPr="00A33C95">
        <w:rPr>
          <w:lang w:val="en-GB"/>
        </w:rPr>
        <w:t>1.9</w:t>
      </w:r>
      <w:r w:rsidRPr="00A33C95">
        <w:rPr>
          <w:lang w:val="en-GB"/>
        </w:rPr>
        <w:tab/>
        <w:t>Leases</w:t>
      </w:r>
    </w:p>
    <w:p w:rsidR="00A33C95" w:rsidRPr="00A33C95" w:rsidRDefault="00A33C95" w:rsidP="00A33C95">
      <w:pPr>
        <w:rPr>
          <w:lang w:val="en-GB"/>
        </w:rPr>
      </w:pPr>
      <w:r w:rsidRPr="00A33C95">
        <w:rPr>
          <w:lang w:val="en-GB"/>
        </w:rPr>
        <w:t>1.10</w:t>
      </w:r>
      <w:r w:rsidRPr="00A33C95">
        <w:rPr>
          <w:lang w:val="en-GB"/>
        </w:rPr>
        <w:tab/>
        <w:t>Fair value measurement</w:t>
      </w:r>
    </w:p>
    <w:p w:rsidR="00A33C95" w:rsidRPr="00A33C95" w:rsidRDefault="00A33C95" w:rsidP="00A33C95">
      <w:pPr>
        <w:rPr>
          <w:lang w:val="en-GB"/>
        </w:rPr>
      </w:pPr>
      <w:r w:rsidRPr="00A33C95">
        <w:rPr>
          <w:lang w:val="en-GB"/>
        </w:rPr>
        <w:t>1.11</w:t>
      </w:r>
      <w:r w:rsidRPr="00A33C95">
        <w:rPr>
          <w:lang w:val="en-GB"/>
        </w:rPr>
        <w:tab/>
        <w:t>Cash</w:t>
      </w:r>
    </w:p>
    <w:p w:rsidR="00A33C95" w:rsidRPr="00A33C95" w:rsidRDefault="00A33C95" w:rsidP="00A33C95">
      <w:pPr>
        <w:rPr>
          <w:lang w:val="en-GB"/>
        </w:rPr>
      </w:pPr>
      <w:r w:rsidRPr="00A33C95">
        <w:rPr>
          <w:lang w:val="en-GB"/>
        </w:rPr>
        <w:t>1.12</w:t>
      </w:r>
      <w:r w:rsidRPr="00A33C95">
        <w:rPr>
          <w:lang w:val="en-GB"/>
        </w:rPr>
        <w:tab/>
        <w:t>Financial assets</w:t>
      </w:r>
    </w:p>
    <w:p w:rsidR="00A33C95" w:rsidRPr="00A33C95" w:rsidRDefault="00A33C95" w:rsidP="00A33C95">
      <w:pPr>
        <w:rPr>
          <w:lang w:val="en-GB"/>
        </w:rPr>
      </w:pPr>
      <w:r w:rsidRPr="00A33C95">
        <w:rPr>
          <w:lang w:val="en-GB"/>
        </w:rPr>
        <w:t>1.13</w:t>
      </w:r>
      <w:r w:rsidRPr="00A33C95">
        <w:rPr>
          <w:lang w:val="en-GB"/>
        </w:rPr>
        <w:tab/>
        <w:t>Financial liabilities</w:t>
      </w:r>
    </w:p>
    <w:p w:rsidR="00A33C95" w:rsidRPr="00A33C95" w:rsidRDefault="00A33C95" w:rsidP="00A33C95">
      <w:pPr>
        <w:rPr>
          <w:lang w:val="en-GB"/>
        </w:rPr>
      </w:pPr>
      <w:r w:rsidRPr="00A33C95">
        <w:rPr>
          <w:lang w:val="en-GB"/>
        </w:rPr>
        <w:t>1.14</w:t>
      </w:r>
      <w:r w:rsidRPr="00A33C95">
        <w:rPr>
          <w:lang w:val="en-GB"/>
        </w:rPr>
        <w:tab/>
        <w:t>Contingent liabilities and contingent assets</w:t>
      </w:r>
    </w:p>
    <w:p w:rsidR="00A33C95" w:rsidRPr="00A33C95" w:rsidRDefault="00A33C95" w:rsidP="00A33C95">
      <w:pPr>
        <w:rPr>
          <w:lang w:val="en-GB"/>
        </w:rPr>
      </w:pPr>
      <w:r w:rsidRPr="00A33C95">
        <w:rPr>
          <w:lang w:val="en-GB"/>
        </w:rPr>
        <w:t>1.15</w:t>
      </w:r>
      <w:r w:rsidRPr="00A33C95">
        <w:rPr>
          <w:lang w:val="en-GB"/>
        </w:rPr>
        <w:tab/>
        <w:t>Acquisition of assets</w:t>
      </w:r>
    </w:p>
    <w:p w:rsidR="00A33C95" w:rsidRPr="00A33C95" w:rsidRDefault="00A33C95" w:rsidP="00A33C95">
      <w:pPr>
        <w:rPr>
          <w:lang w:val="en-GB"/>
        </w:rPr>
      </w:pPr>
      <w:r w:rsidRPr="00A33C95">
        <w:rPr>
          <w:lang w:val="en-GB"/>
        </w:rPr>
        <w:t>1.16</w:t>
      </w:r>
      <w:r w:rsidRPr="00A33C95">
        <w:rPr>
          <w:lang w:val="en-GB"/>
        </w:rPr>
        <w:tab/>
        <w:t>Leasehold improvements, plant and equipment</w:t>
      </w:r>
    </w:p>
    <w:p w:rsidR="00A33C95" w:rsidRPr="00A33C95" w:rsidRDefault="00A33C95" w:rsidP="00A33C95">
      <w:pPr>
        <w:rPr>
          <w:lang w:val="en-GB"/>
        </w:rPr>
      </w:pPr>
      <w:r w:rsidRPr="00A33C95">
        <w:rPr>
          <w:lang w:val="en-GB"/>
        </w:rPr>
        <w:t>1.17</w:t>
      </w:r>
      <w:r w:rsidRPr="00A33C95">
        <w:rPr>
          <w:lang w:val="en-GB"/>
        </w:rPr>
        <w:tab/>
        <w:t>Intangibles</w:t>
      </w:r>
    </w:p>
    <w:p w:rsidR="00A33C95" w:rsidRPr="00A33C95" w:rsidRDefault="00A33C95" w:rsidP="00A33C95">
      <w:pPr>
        <w:rPr>
          <w:lang w:val="en-GB"/>
        </w:rPr>
      </w:pPr>
      <w:r w:rsidRPr="00A33C95">
        <w:rPr>
          <w:lang w:val="en-GB"/>
        </w:rPr>
        <w:t>1.18</w:t>
      </w:r>
      <w:r w:rsidRPr="00A33C95">
        <w:rPr>
          <w:lang w:val="en-GB"/>
        </w:rPr>
        <w:tab/>
        <w:t>Taxation</w:t>
      </w:r>
    </w:p>
    <w:p w:rsidR="00A33C95" w:rsidRPr="00A33C95" w:rsidRDefault="00A33C95" w:rsidP="00A00568">
      <w:pPr>
        <w:pStyle w:val="FinancialsH3"/>
      </w:pPr>
      <w:r w:rsidRPr="00A33C95">
        <w:t>1.1 Objectives of the Independent Hospital Pricing Authority</w:t>
      </w:r>
    </w:p>
    <w:p w:rsidR="00A33C95" w:rsidRPr="00A33C95" w:rsidRDefault="00A33C95" w:rsidP="00A33C95">
      <w:pPr>
        <w:rPr>
          <w:lang w:val="en-GB"/>
        </w:rPr>
      </w:pPr>
      <w:r w:rsidRPr="00A33C95">
        <w:rPr>
          <w:lang w:val="en-GB"/>
        </w:rPr>
        <w:t>IHPA’s objective is to:</w:t>
      </w:r>
    </w:p>
    <w:p w:rsidR="00A33C95" w:rsidRPr="00A33C95" w:rsidRDefault="00A33C95" w:rsidP="003B535C">
      <w:pPr>
        <w:pStyle w:val="ListBullet"/>
        <w:rPr>
          <w:lang w:val="en-GB"/>
        </w:rPr>
      </w:pPr>
      <w:r w:rsidRPr="00A33C95">
        <w:rPr>
          <w:lang w:val="en-GB"/>
        </w:rPr>
        <w:t xml:space="preserve">Determine the National Efficient Price and National Efficient Cost for public hospital services; </w:t>
      </w:r>
    </w:p>
    <w:p w:rsidR="00A33C95" w:rsidRPr="00A33C95" w:rsidRDefault="00A33C95" w:rsidP="003B535C">
      <w:pPr>
        <w:pStyle w:val="ListBullet"/>
        <w:rPr>
          <w:lang w:val="en-GB"/>
        </w:rPr>
      </w:pPr>
      <w:r w:rsidRPr="00A33C95">
        <w:rPr>
          <w:lang w:val="en-GB"/>
        </w:rPr>
        <w:t xml:space="preserve">Develop national classifications for Activity Based Funding; and </w:t>
      </w:r>
    </w:p>
    <w:p w:rsidR="00A33C95" w:rsidRPr="00A33C95" w:rsidRDefault="00A33C95" w:rsidP="003B535C">
      <w:pPr>
        <w:pStyle w:val="ListBullet"/>
        <w:rPr>
          <w:lang w:val="en-GB"/>
        </w:rPr>
      </w:pPr>
      <w:r w:rsidRPr="00A33C95">
        <w:rPr>
          <w:lang w:val="en-GB"/>
        </w:rPr>
        <w:t xml:space="preserve">Resolve disputes on cost-shifting and cross-border issues. </w:t>
      </w:r>
    </w:p>
    <w:p w:rsidR="00A33C95" w:rsidRPr="00A33C95" w:rsidRDefault="00A33C95" w:rsidP="00A33C95">
      <w:pPr>
        <w:rPr>
          <w:lang w:val="en-GB"/>
        </w:rPr>
      </w:pPr>
      <w:r w:rsidRPr="00A33C95">
        <w:rPr>
          <w:lang w:val="en-GB"/>
        </w:rPr>
        <w:t>IHPA is structured to meet one outcome:</w:t>
      </w:r>
    </w:p>
    <w:p w:rsidR="00A33C95" w:rsidRPr="00A33C95" w:rsidRDefault="00A33C95" w:rsidP="00A33C95">
      <w:pPr>
        <w:rPr>
          <w:lang w:val="en-GB"/>
        </w:rPr>
      </w:pPr>
      <w:r w:rsidRPr="00A33C95">
        <w:rPr>
          <w:b/>
          <w:bCs/>
          <w:lang w:val="en-GB"/>
        </w:rPr>
        <w:t>Outcome 1</w:t>
      </w:r>
      <w:r w:rsidRPr="00A33C95">
        <w:rPr>
          <w:lang w:val="en-GB"/>
        </w:rPr>
        <w:t>: Promote improved efficiency in, and access to, public hospital services primarily through setting efficient national prices and levels of block funding for hospital activities.</w:t>
      </w:r>
    </w:p>
    <w:p w:rsidR="00A33C95" w:rsidRPr="00A33C95" w:rsidRDefault="00A33C95" w:rsidP="00A33C95">
      <w:pPr>
        <w:rPr>
          <w:lang w:val="en-GB"/>
        </w:rPr>
      </w:pPr>
      <w:r w:rsidRPr="00A33C95">
        <w:rPr>
          <w:lang w:val="en-GB"/>
        </w:rPr>
        <w:t xml:space="preserve">From the date of creation to 30 June 2014, IHPA was a prescribed agency under the </w:t>
      </w:r>
      <w:r w:rsidRPr="00A33C95">
        <w:rPr>
          <w:i/>
          <w:iCs/>
          <w:lang w:val="en-GB"/>
        </w:rPr>
        <w:t>Financial Management and Accountability Act 1997</w:t>
      </w:r>
      <w:r w:rsidRPr="00A33C95">
        <w:rPr>
          <w:lang w:val="en-GB"/>
        </w:rPr>
        <w:t xml:space="preserve">. Since 1 July 2014 onwards, IHPA has been governed under the </w:t>
      </w:r>
      <w:r w:rsidRPr="00A33C95">
        <w:rPr>
          <w:i/>
          <w:iCs/>
          <w:lang w:val="en-GB"/>
        </w:rPr>
        <w:t xml:space="preserve">Public Governance, Performance and Accountability </w:t>
      </w:r>
      <w:r w:rsidRPr="00A33C95">
        <w:rPr>
          <w:lang w:val="en-GB"/>
        </w:rPr>
        <w:t>(PGPA)</w:t>
      </w:r>
      <w:r w:rsidRPr="00A33C95">
        <w:rPr>
          <w:i/>
          <w:iCs/>
          <w:lang w:val="en-GB"/>
        </w:rPr>
        <w:t xml:space="preserve"> Act 2013</w:t>
      </w:r>
      <w:r w:rsidRPr="00A33C95">
        <w:rPr>
          <w:lang w:val="en-GB"/>
        </w:rPr>
        <w:t xml:space="preserve"> as a Corporate Commonwealth Entity. A consequence of this change is that from 1 July 2014, IHPA no longer maintains separate accounting records for Administered revenue, expenses, assets and liabilities and cashflows as these are accounted for as part of IHPA’s Departmental item. </w:t>
      </w:r>
    </w:p>
    <w:p w:rsidR="00A33C95" w:rsidRPr="00A33C95" w:rsidRDefault="00A33C95" w:rsidP="00A33C95">
      <w:pPr>
        <w:rPr>
          <w:lang w:val="en-GB"/>
        </w:rPr>
      </w:pPr>
      <w:r w:rsidRPr="00A33C95">
        <w:rPr>
          <w:lang w:val="en-GB"/>
        </w:rPr>
        <w:t>The continued existence of IHPA in its present form and with its present programs is dependent on Australian Government policy and on continuing appropriations by Parliament for IHPA’s administration and programs.</w:t>
      </w:r>
    </w:p>
    <w:p w:rsidR="00A33C95" w:rsidRPr="00A33C95" w:rsidRDefault="00A33C95" w:rsidP="00A00568">
      <w:pPr>
        <w:pStyle w:val="FinancialsH3"/>
      </w:pPr>
      <w:r w:rsidRPr="00A33C95">
        <w:lastRenderedPageBreak/>
        <w:t>1.2 Basis of preparation of the financial statements</w:t>
      </w:r>
    </w:p>
    <w:p w:rsidR="00A33C95" w:rsidRPr="00A33C95" w:rsidRDefault="00A33C95" w:rsidP="00A33C95">
      <w:pPr>
        <w:rPr>
          <w:lang w:val="en-GB"/>
        </w:rPr>
      </w:pPr>
      <w:r w:rsidRPr="00A33C95">
        <w:rPr>
          <w:lang w:val="en-GB"/>
        </w:rPr>
        <w:t xml:space="preserve">The financial statements are general purpose financial statements and are required by section 42 of the Public </w:t>
      </w:r>
      <w:r w:rsidRPr="00A33C95">
        <w:rPr>
          <w:i/>
          <w:iCs/>
          <w:lang w:val="en-GB"/>
        </w:rPr>
        <w:t>Governance, Performance and Accountability</w:t>
      </w:r>
      <w:r w:rsidRPr="00A33C95">
        <w:rPr>
          <w:lang w:val="en-GB"/>
        </w:rPr>
        <w:t xml:space="preserve"> (PGPA) </w:t>
      </w:r>
      <w:r w:rsidRPr="00A33C95">
        <w:rPr>
          <w:i/>
          <w:iCs/>
          <w:lang w:val="en-GB"/>
        </w:rPr>
        <w:t>Act 2013</w:t>
      </w:r>
      <w:r w:rsidRPr="00A33C95">
        <w:rPr>
          <w:lang w:val="en-GB"/>
        </w:rPr>
        <w:t>.</w:t>
      </w:r>
    </w:p>
    <w:p w:rsidR="00A33C95" w:rsidRPr="00A33C95" w:rsidRDefault="00A33C95" w:rsidP="00A33C95">
      <w:pPr>
        <w:rPr>
          <w:lang w:val="en-GB"/>
        </w:rPr>
      </w:pPr>
      <w:r w:rsidRPr="00A33C95">
        <w:rPr>
          <w:lang w:val="en-GB"/>
        </w:rPr>
        <w:t>The financial statements have been prepared in accordance with:</w:t>
      </w:r>
    </w:p>
    <w:p w:rsidR="00A33C95" w:rsidRPr="003B535C" w:rsidRDefault="00A33C95" w:rsidP="003B535C">
      <w:pPr>
        <w:pStyle w:val="ListParagraph"/>
        <w:numPr>
          <w:ilvl w:val="0"/>
          <w:numId w:val="41"/>
        </w:numPr>
        <w:rPr>
          <w:lang w:val="en-GB"/>
        </w:rPr>
      </w:pPr>
      <w:r w:rsidRPr="003B535C">
        <w:rPr>
          <w:lang w:val="en-GB"/>
        </w:rPr>
        <w:t>Financial Reporting Rule (FRR) for reporting periods ending on or after 1 July 2014; and</w:t>
      </w:r>
    </w:p>
    <w:p w:rsidR="00A33C95" w:rsidRPr="003B535C" w:rsidRDefault="00A33C95" w:rsidP="003B535C">
      <w:pPr>
        <w:pStyle w:val="ListParagraph"/>
        <w:numPr>
          <w:ilvl w:val="0"/>
          <w:numId w:val="41"/>
        </w:numPr>
        <w:rPr>
          <w:lang w:val="en-GB"/>
        </w:rPr>
      </w:pPr>
      <w:r w:rsidRPr="003B535C">
        <w:rPr>
          <w:lang w:val="en-GB"/>
        </w:rPr>
        <w:t>Australian Accounting Standards and Interpretations issued by the Australian Accounting Standards Board (AASB) that apply for the reporting period.</w:t>
      </w:r>
    </w:p>
    <w:p w:rsidR="00A33C95" w:rsidRPr="00A33C95" w:rsidRDefault="00A33C95" w:rsidP="00A33C95">
      <w:pPr>
        <w:rPr>
          <w:lang w:val="en-GB"/>
        </w:rPr>
      </w:pPr>
      <w:r w:rsidRPr="00A33C95">
        <w:rPr>
          <w:lang w:val="en-GB"/>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rsidR="00A33C95" w:rsidRPr="00A33C95" w:rsidRDefault="00A33C95" w:rsidP="00A33C95">
      <w:pPr>
        <w:rPr>
          <w:lang w:val="en-GB"/>
        </w:rPr>
      </w:pPr>
      <w:r w:rsidRPr="00A33C95">
        <w:rPr>
          <w:lang w:val="en-GB"/>
        </w:rPr>
        <w:t xml:space="preserve">The financial statements are presented in Australian dollars and values are rounded to the nearest thousand dollars unless otherwise specified. </w:t>
      </w:r>
    </w:p>
    <w:p w:rsidR="00A33C95" w:rsidRDefault="00A33C95" w:rsidP="00A33C95">
      <w:pPr>
        <w:rPr>
          <w:lang w:val="en-GB"/>
        </w:rPr>
      </w:pPr>
      <w:r w:rsidRPr="00A33C95">
        <w:rPr>
          <w:lang w:val="en-GB"/>
        </w:rPr>
        <w:t xml:space="preserve">Assets and liabilities are recognised in the Statement of Financial Position when and only when it is probable that future economic benefits will flow to IHPA or a future sacrifice of economic benefits will be required, and the amounts of the assets or liabilities can be reliably measured. However, assets and liabilities arising under executory contracts are not recognised unless required by an accounting standard. Liabilities and assets that are not recognised are reported in the Schedule of Commitments or the Schedule of Contingencies. </w:t>
      </w:r>
    </w:p>
    <w:p w:rsidR="00A33C95" w:rsidRPr="00A33C95" w:rsidRDefault="00A33C95" w:rsidP="003B535C">
      <w:pPr>
        <w:rPr>
          <w:lang w:val="en-GB"/>
        </w:rPr>
      </w:pPr>
      <w:r w:rsidRPr="00A33C95">
        <w:rPr>
          <w:lang w:val="en-GB"/>
        </w:rPr>
        <w:t xml:space="preserve">Income and expenses are recognised in the Statement of Comprehensive Income when and only when the flow, consumption or loss of economic benefits has occurred and can be reliably measured. </w:t>
      </w:r>
    </w:p>
    <w:p w:rsidR="00A33C95" w:rsidRPr="00A33C95" w:rsidRDefault="00A33C95" w:rsidP="00A00568">
      <w:pPr>
        <w:pStyle w:val="FinancialsH3"/>
      </w:pPr>
      <w:r w:rsidRPr="00A33C95">
        <w:t>1.3 Significant accounting judgements and estimates</w:t>
      </w:r>
    </w:p>
    <w:p w:rsidR="00A33C95" w:rsidRPr="00A33C95" w:rsidRDefault="00A33C95" w:rsidP="003B535C">
      <w:pPr>
        <w:rPr>
          <w:lang w:val="en-GB"/>
        </w:rPr>
      </w:pPr>
      <w:r w:rsidRPr="00A33C95">
        <w:rPr>
          <w:lang w:val="en-GB"/>
        </w:rPr>
        <w:t>No accounting assumptions or estimates have been identified that have a significant risk of causing a material adjustment to the carrying amounts of assets and liabilities within the next reporting period.</w:t>
      </w:r>
    </w:p>
    <w:p w:rsidR="00A33C95" w:rsidRPr="00A33C95" w:rsidRDefault="00A33C95" w:rsidP="00A00568">
      <w:pPr>
        <w:pStyle w:val="FinancialsH3"/>
      </w:pPr>
      <w:r w:rsidRPr="00A33C95">
        <w:t>1.4 New Australian Accounting Standards</w:t>
      </w:r>
    </w:p>
    <w:p w:rsidR="00A33C95" w:rsidRPr="00A33C95" w:rsidRDefault="00A33C95" w:rsidP="00A00568">
      <w:pPr>
        <w:pStyle w:val="FinancialsH4"/>
      </w:pPr>
      <w:r w:rsidRPr="00A33C95">
        <w:t>Adoption of New Australian Accounting Standard Requirements</w:t>
      </w:r>
    </w:p>
    <w:p w:rsidR="00A33C95" w:rsidRPr="00A33C95" w:rsidRDefault="00A33C95" w:rsidP="003B535C">
      <w:pPr>
        <w:rPr>
          <w:lang w:val="en-GB"/>
        </w:rPr>
      </w:pPr>
      <w:r w:rsidRPr="00A33C95">
        <w:rPr>
          <w:lang w:val="en-GB"/>
        </w:rPr>
        <w:t>The following standard issued prior to the signing of the statement by the Accountable Authority and Chief Financial Officer was applicable to the current reporting period and had a material effect on the IHPA’s financial statements:</w:t>
      </w:r>
    </w:p>
    <w:p w:rsidR="00A33C95" w:rsidRPr="00A33C95" w:rsidRDefault="00A33C95" w:rsidP="003B535C">
      <w:pPr>
        <w:pStyle w:val="ListBullet"/>
        <w:rPr>
          <w:lang w:val="en-GB"/>
        </w:rPr>
      </w:pPr>
      <w:r w:rsidRPr="00A33C95">
        <w:rPr>
          <w:lang w:val="en-GB"/>
        </w:rPr>
        <w:t xml:space="preserve">AASB 1055 </w:t>
      </w:r>
      <w:r w:rsidRPr="003B535C">
        <w:rPr>
          <w:i/>
          <w:lang w:val="en-GB"/>
        </w:rPr>
        <w:t>Budgetary Reporting</w:t>
      </w:r>
    </w:p>
    <w:p w:rsidR="00A33C95" w:rsidRPr="00A33C95" w:rsidRDefault="00A33C95" w:rsidP="003B535C">
      <w:pPr>
        <w:rPr>
          <w:lang w:val="en-GB"/>
        </w:rPr>
      </w:pPr>
      <w:r w:rsidRPr="00A33C95">
        <w:rPr>
          <w:lang w:val="en-GB"/>
        </w:rPr>
        <w:t>All other standards, revised standards, interpretations or amendments to standards that were issued prior to the sign off date and are applicable to the current reporting period did not have a material effect on IHPA’s financial statements.</w:t>
      </w:r>
    </w:p>
    <w:p w:rsidR="00A33C95" w:rsidRPr="003B535C" w:rsidRDefault="00A33C95" w:rsidP="00A00568">
      <w:pPr>
        <w:pStyle w:val="FinancialsH4"/>
      </w:pPr>
      <w:r w:rsidRPr="003B535C">
        <w:t>Future Australian Accounting Standard Requirements</w:t>
      </w:r>
    </w:p>
    <w:p w:rsidR="00A33C95" w:rsidRPr="00A33C95" w:rsidRDefault="00A33C95" w:rsidP="003B535C">
      <w:pPr>
        <w:rPr>
          <w:lang w:val="en-GB"/>
        </w:rPr>
      </w:pPr>
      <w:r w:rsidRPr="00A33C95">
        <w:rPr>
          <w:lang w:val="en-GB"/>
        </w:rPr>
        <w:t>The following new accounting standards, amendments to accounting standards and interpretations were issued by the Australian Accounting Standards Board prior to the signing of the statement by the Accountable Authority and Chief Financial Officer and are expected to have a material impact on IHPA’s financial statements for future reporting periods:</w:t>
      </w:r>
    </w:p>
    <w:p w:rsidR="00A33C95" w:rsidRPr="00A33C95" w:rsidRDefault="00A33C95" w:rsidP="003B535C">
      <w:pPr>
        <w:pStyle w:val="ListBullet"/>
        <w:rPr>
          <w:lang w:val="en-GB"/>
        </w:rPr>
      </w:pPr>
      <w:r w:rsidRPr="00A33C95">
        <w:rPr>
          <w:lang w:val="en-GB"/>
        </w:rPr>
        <w:t xml:space="preserve">AASB 15 </w:t>
      </w:r>
      <w:r w:rsidRPr="003B535C">
        <w:rPr>
          <w:i/>
          <w:lang w:val="en-GB"/>
        </w:rPr>
        <w:t>Revenue from Contracts with Customers</w:t>
      </w:r>
    </w:p>
    <w:p w:rsidR="00A33C95" w:rsidRPr="00A33C95" w:rsidRDefault="00A33C95" w:rsidP="003B535C">
      <w:pPr>
        <w:rPr>
          <w:lang w:val="en-GB"/>
        </w:rPr>
      </w:pPr>
      <w:r w:rsidRPr="00A33C95">
        <w:rPr>
          <w:lang w:val="en-GB"/>
        </w:rPr>
        <w:t>All other standards, revised standards, interpretations or amendments to standards that were issued prior to the sign off date and are applicable to the current reporting period are not expected to have a material effect on IHPA’s financial statements.</w:t>
      </w:r>
    </w:p>
    <w:p w:rsidR="00F75652" w:rsidRDefault="00F75652" w:rsidP="00A00568">
      <w:pPr>
        <w:pStyle w:val="FinancialsH3"/>
      </w:pPr>
      <w:r>
        <w:br w:type="page"/>
      </w:r>
    </w:p>
    <w:p w:rsidR="00A33C95" w:rsidRPr="00A33C95" w:rsidRDefault="00A33C95" w:rsidP="00A00568">
      <w:pPr>
        <w:pStyle w:val="FinancialsH3"/>
      </w:pPr>
      <w:r w:rsidRPr="00A33C95">
        <w:lastRenderedPageBreak/>
        <w:t>1.5 Revenue</w:t>
      </w:r>
    </w:p>
    <w:p w:rsidR="00A33C95" w:rsidRPr="00A33C95" w:rsidRDefault="00A33C95" w:rsidP="003B535C">
      <w:pPr>
        <w:rPr>
          <w:lang w:val="en-GB"/>
        </w:rPr>
      </w:pPr>
      <w:r w:rsidRPr="00A33C95">
        <w:rPr>
          <w:lang w:val="en-GB"/>
        </w:rPr>
        <w:t>Revenue generated from the sale of goods is recognised when:</w:t>
      </w:r>
    </w:p>
    <w:p w:rsidR="00A33C95" w:rsidRPr="005D1177" w:rsidRDefault="00A33C95" w:rsidP="005D1177">
      <w:pPr>
        <w:pStyle w:val="ListParagraph"/>
        <w:numPr>
          <w:ilvl w:val="0"/>
          <w:numId w:val="42"/>
        </w:numPr>
        <w:rPr>
          <w:lang w:val="en-GB"/>
        </w:rPr>
      </w:pPr>
      <w:r w:rsidRPr="005D1177">
        <w:rPr>
          <w:lang w:val="en-GB"/>
        </w:rPr>
        <w:t>The risks and rewards of ownership have been transferred to the buyer;</w:t>
      </w:r>
    </w:p>
    <w:p w:rsidR="00A33C95" w:rsidRPr="005D1177" w:rsidRDefault="00A33C95" w:rsidP="005D1177">
      <w:pPr>
        <w:pStyle w:val="ListParagraph"/>
        <w:numPr>
          <w:ilvl w:val="0"/>
          <w:numId w:val="42"/>
        </w:numPr>
        <w:rPr>
          <w:lang w:val="en-GB"/>
        </w:rPr>
      </w:pPr>
      <w:r w:rsidRPr="005D1177">
        <w:rPr>
          <w:lang w:val="en-GB"/>
        </w:rPr>
        <w:t>IHPA retains no managerial involvement or effective control over the goods;</w:t>
      </w:r>
    </w:p>
    <w:p w:rsidR="00A33C95" w:rsidRPr="005D1177" w:rsidRDefault="00A33C95" w:rsidP="005D1177">
      <w:pPr>
        <w:pStyle w:val="ListParagraph"/>
        <w:numPr>
          <w:ilvl w:val="0"/>
          <w:numId w:val="42"/>
        </w:numPr>
        <w:rPr>
          <w:lang w:val="en-GB"/>
        </w:rPr>
      </w:pPr>
      <w:r w:rsidRPr="005D1177">
        <w:rPr>
          <w:lang w:val="en-GB"/>
        </w:rPr>
        <w:t>The revenue and transaction costs incurred can be reliably measured; and</w:t>
      </w:r>
    </w:p>
    <w:p w:rsidR="00A33C95" w:rsidRPr="005D1177" w:rsidRDefault="00A33C95" w:rsidP="005D1177">
      <w:pPr>
        <w:pStyle w:val="ListParagraph"/>
        <w:numPr>
          <w:ilvl w:val="0"/>
          <w:numId w:val="42"/>
        </w:numPr>
        <w:rPr>
          <w:lang w:val="en-GB"/>
        </w:rPr>
      </w:pPr>
      <w:r w:rsidRPr="005D1177">
        <w:rPr>
          <w:lang w:val="en-GB"/>
        </w:rPr>
        <w:t>It is probable that the economic benefits associated with the transaction will flow to IHPA.</w:t>
      </w:r>
    </w:p>
    <w:p w:rsidR="00A33C95" w:rsidRPr="00A33C95" w:rsidRDefault="00A33C95" w:rsidP="005D1177">
      <w:pPr>
        <w:rPr>
          <w:lang w:val="en-GB"/>
        </w:rPr>
      </w:pPr>
      <w:r w:rsidRPr="00A33C95">
        <w:rPr>
          <w:lang w:val="en-GB"/>
        </w:rPr>
        <w:t>Revenue generated from rendering of services is recognised by reference to the stage of completion of contracts at the reporting date. The revenue is recognised when:</w:t>
      </w:r>
    </w:p>
    <w:p w:rsidR="00A33C95" w:rsidRPr="005D1177" w:rsidRDefault="00A33C95" w:rsidP="005D1177">
      <w:pPr>
        <w:pStyle w:val="ListParagraph"/>
        <w:numPr>
          <w:ilvl w:val="0"/>
          <w:numId w:val="44"/>
        </w:numPr>
        <w:rPr>
          <w:lang w:val="en-GB"/>
        </w:rPr>
      </w:pPr>
      <w:r w:rsidRPr="005D1177">
        <w:rPr>
          <w:lang w:val="en-GB"/>
        </w:rPr>
        <w:t>The amount of revenue, stage of completion and transaction costs incurred can be reliably measured; and</w:t>
      </w:r>
    </w:p>
    <w:p w:rsidR="00A33C95" w:rsidRPr="005D1177" w:rsidRDefault="00A33C95" w:rsidP="005D1177">
      <w:pPr>
        <w:pStyle w:val="ListParagraph"/>
        <w:numPr>
          <w:ilvl w:val="0"/>
          <w:numId w:val="44"/>
        </w:numPr>
        <w:rPr>
          <w:lang w:val="en-GB"/>
        </w:rPr>
      </w:pPr>
      <w:r w:rsidRPr="005D1177">
        <w:rPr>
          <w:lang w:val="en-GB"/>
        </w:rPr>
        <w:t xml:space="preserve">The probable economic benefits associated with the transaction will flow to IHPA. </w:t>
      </w:r>
    </w:p>
    <w:p w:rsidR="00A33C95" w:rsidRPr="00A33C95" w:rsidRDefault="00A33C95" w:rsidP="005D1177">
      <w:pPr>
        <w:rPr>
          <w:lang w:val="en-GB"/>
        </w:rPr>
      </w:pPr>
      <w:r w:rsidRPr="00A33C95">
        <w:rPr>
          <w:lang w:val="en-GB"/>
        </w:rPr>
        <w:t>The stage of completion of contracts at the reporting date is determined by reference to the proportion that costs incurred to date bear to the estimated total costs of the transaction.</w:t>
      </w:r>
    </w:p>
    <w:p w:rsidR="00A33C95" w:rsidRPr="00A33C95" w:rsidRDefault="00A33C95" w:rsidP="005D1177">
      <w:pPr>
        <w:rPr>
          <w:lang w:val="en-GB"/>
        </w:rPr>
      </w:pPr>
      <w:r w:rsidRPr="00A33C95">
        <w:rPr>
          <w:lang w:val="en-GB"/>
        </w:rPr>
        <w:t>Receivables for goods and services, which have 30 day terms, are recognised at the nominal amounts due less any impairment allowance. Collectability of debts is reviewed at the end of the reporting period. Allowances are made when collectability of the debt is no longer probable.</w:t>
      </w:r>
    </w:p>
    <w:p w:rsidR="00A33C95" w:rsidRPr="00A33C95" w:rsidRDefault="00A33C95" w:rsidP="005D1177">
      <w:pPr>
        <w:rPr>
          <w:lang w:val="en-GB"/>
        </w:rPr>
      </w:pPr>
      <w:r w:rsidRPr="00A33C95">
        <w:rPr>
          <w:lang w:val="en-GB"/>
        </w:rPr>
        <w:t xml:space="preserve">Interest revenue is recognised using the effective interest method as set out in AASB 139 </w:t>
      </w:r>
      <w:r w:rsidRPr="00A33C95">
        <w:rPr>
          <w:i/>
          <w:iCs/>
          <w:lang w:val="en-GB"/>
        </w:rPr>
        <w:t>Financial Instruments: Recognition and Measurement</w:t>
      </w:r>
      <w:r w:rsidRPr="00A33C95">
        <w:rPr>
          <w:lang w:val="en-GB"/>
        </w:rPr>
        <w:t>.</w:t>
      </w:r>
    </w:p>
    <w:p w:rsidR="00A33C95" w:rsidRPr="00A33C95" w:rsidRDefault="00A33C95" w:rsidP="00A00568">
      <w:pPr>
        <w:pStyle w:val="FinancialsH4"/>
      </w:pPr>
      <w:r w:rsidRPr="00A33C95">
        <w:t xml:space="preserve">Revenue from Government </w:t>
      </w:r>
    </w:p>
    <w:p w:rsidR="00A33C95" w:rsidRPr="00A33C95" w:rsidRDefault="00A33C95" w:rsidP="005D1177">
      <w:pPr>
        <w:rPr>
          <w:lang w:val="en-GB"/>
        </w:rPr>
      </w:pPr>
      <w:r w:rsidRPr="00A33C95">
        <w:rPr>
          <w:lang w:val="en-GB"/>
        </w:rPr>
        <w:t>Amounts appropriated for departmental purposes for the year (adjusted for any formal additions and reductions) are recognised as Revenue from Australian Government when IHPA gains control of the appropriation. Appropriations receivable are recognised at their nominal amounts.</w:t>
      </w:r>
    </w:p>
    <w:p w:rsidR="00A33C95" w:rsidRPr="00A33C95" w:rsidRDefault="00A33C95" w:rsidP="00A00568">
      <w:pPr>
        <w:pStyle w:val="FinancialsH3"/>
      </w:pPr>
      <w:r w:rsidRPr="00A33C95">
        <w:t>1.6 Gains</w:t>
      </w:r>
    </w:p>
    <w:p w:rsidR="00A33C95" w:rsidRPr="00A33C95" w:rsidRDefault="00A33C95" w:rsidP="00A00568">
      <w:pPr>
        <w:pStyle w:val="FinancialsH4"/>
      </w:pPr>
      <w:r w:rsidRPr="00A33C95">
        <w:t>Resources received free of charge</w:t>
      </w:r>
    </w:p>
    <w:p w:rsidR="00A33C95" w:rsidRPr="00A33C95" w:rsidRDefault="00A33C95" w:rsidP="005D1177">
      <w:pPr>
        <w:rPr>
          <w:lang w:val="en-GB"/>
        </w:rPr>
      </w:pPr>
      <w:r w:rsidRPr="00A33C95">
        <w:rPr>
          <w:lang w:val="en-GB"/>
        </w:rPr>
        <w:t xml:space="preserve">Resources received free of charge are recognised as gains when the fair value can be reliably determined and the services would have been purchased if they had not been donated. Use of those resources is recognised as an expense. </w:t>
      </w:r>
    </w:p>
    <w:p w:rsidR="00A33C95" w:rsidRPr="00A33C95" w:rsidRDefault="00A33C95" w:rsidP="005D1177">
      <w:pPr>
        <w:rPr>
          <w:lang w:val="en-GB"/>
        </w:rPr>
      </w:pPr>
      <w:r w:rsidRPr="00A33C95">
        <w:rPr>
          <w:lang w:val="en-GB"/>
        </w:rPr>
        <w:t>Resources received free of charge are recorded as either revenue or gains depending on their nature.</w:t>
      </w:r>
    </w:p>
    <w:p w:rsidR="00A33C95" w:rsidRPr="00A33C95" w:rsidRDefault="00A33C95" w:rsidP="005D1177">
      <w:pPr>
        <w:rPr>
          <w:lang w:val="en-GB"/>
        </w:rPr>
      </w:pPr>
      <w:r w:rsidRPr="00A33C95">
        <w:rPr>
          <w:lang w:val="en-GB"/>
        </w:rPr>
        <w:t>Contributions of assets at no cost of acquisition or for nominal consideration are recognised as gains at their fair value when the asset qualifies for recognition, unless received from another Australian Government agency or authority as a consequence of a restructuring of administrative arrangements.</w:t>
      </w:r>
    </w:p>
    <w:p w:rsidR="00A33C95" w:rsidRPr="00A33C95" w:rsidRDefault="00A33C95" w:rsidP="00A00568">
      <w:pPr>
        <w:pStyle w:val="FinancialsH4"/>
      </w:pPr>
      <w:r w:rsidRPr="00A33C95">
        <w:t>Sale of assets</w:t>
      </w:r>
    </w:p>
    <w:p w:rsidR="00A33C95" w:rsidRPr="00A33C95" w:rsidRDefault="00A33C95" w:rsidP="005D1177">
      <w:pPr>
        <w:rPr>
          <w:lang w:val="en-GB"/>
        </w:rPr>
      </w:pPr>
      <w:r w:rsidRPr="00A33C95">
        <w:rPr>
          <w:lang w:val="en-GB"/>
        </w:rPr>
        <w:t>Gains from disposal of non-current assets are recognised when control of the asset has passed to the buyer.</w:t>
      </w:r>
    </w:p>
    <w:p w:rsidR="00A33C95" w:rsidRPr="00A33C95" w:rsidRDefault="00A33C95" w:rsidP="00A00568">
      <w:pPr>
        <w:pStyle w:val="FinancialsH3"/>
      </w:pPr>
      <w:r w:rsidRPr="00A33C95">
        <w:t>1.7 Transactions with the Government as owner</w:t>
      </w:r>
    </w:p>
    <w:p w:rsidR="00A33C95" w:rsidRPr="00A33C95" w:rsidRDefault="00A33C95" w:rsidP="00A00568">
      <w:pPr>
        <w:pStyle w:val="FinancialsH4"/>
      </w:pPr>
      <w:r w:rsidRPr="00A33C95">
        <w:t>Equity injections</w:t>
      </w:r>
    </w:p>
    <w:p w:rsidR="00A33C95" w:rsidRPr="00A33C95" w:rsidRDefault="00A33C95" w:rsidP="005D1177">
      <w:pPr>
        <w:rPr>
          <w:lang w:val="en-GB"/>
        </w:rPr>
      </w:pPr>
      <w:r w:rsidRPr="00A33C95">
        <w:rPr>
          <w:lang w:val="en-GB"/>
        </w:rPr>
        <w:t>Amounts appropriated which are designated as ‘equity injections’ for a year (less any formal reductions) and Departmental Capital Budgets (DCB) are recognised directly in contributed equity in that year.</w:t>
      </w:r>
    </w:p>
    <w:p w:rsidR="00A33C95" w:rsidRPr="00A33C95" w:rsidRDefault="00A33C95" w:rsidP="00A00568">
      <w:pPr>
        <w:pStyle w:val="FinancialsH4"/>
      </w:pPr>
      <w:r w:rsidRPr="00A33C95">
        <w:lastRenderedPageBreak/>
        <w:t>Restructuring of administrative arrangements</w:t>
      </w:r>
    </w:p>
    <w:p w:rsidR="00A33C95" w:rsidRPr="00A33C95" w:rsidRDefault="00A33C95" w:rsidP="005D1177">
      <w:pPr>
        <w:rPr>
          <w:lang w:val="en-GB"/>
        </w:rPr>
      </w:pPr>
      <w:r w:rsidRPr="00A33C95">
        <w:rPr>
          <w:lang w:val="en-GB"/>
        </w:rPr>
        <w:t>Net assets received from or relinquished to another Australian Government entity under a restructuring of administrative arrangements are adjusted at their book value directly against contributed equity.</w:t>
      </w:r>
    </w:p>
    <w:p w:rsidR="00A33C95" w:rsidRPr="00A33C95" w:rsidRDefault="00A33C95" w:rsidP="00A00568">
      <w:pPr>
        <w:pStyle w:val="FinancialsH3"/>
      </w:pPr>
      <w:r w:rsidRPr="00A33C95">
        <w:t>1.8 Employee benefits</w:t>
      </w:r>
    </w:p>
    <w:p w:rsidR="00A33C95" w:rsidRPr="00A33C95" w:rsidRDefault="00A33C95" w:rsidP="005D1177">
      <w:pPr>
        <w:rPr>
          <w:lang w:val="en-GB"/>
        </w:rPr>
      </w:pPr>
      <w:r w:rsidRPr="00A33C95">
        <w:rPr>
          <w:lang w:val="en-GB"/>
        </w:rPr>
        <w:t xml:space="preserve">Liabilities for ‘short-term employee benefits’ (as defined in AASB 119 </w:t>
      </w:r>
      <w:r w:rsidRPr="00A33C95">
        <w:rPr>
          <w:i/>
          <w:iCs/>
          <w:lang w:val="en-GB"/>
        </w:rPr>
        <w:t>Employee Benefits</w:t>
      </w:r>
      <w:r w:rsidRPr="00A33C95">
        <w:rPr>
          <w:lang w:val="en-GB"/>
        </w:rPr>
        <w:t xml:space="preserve">) and termination benefits due within 12 months of the end of the reporting period are measured at their nominal amounts. </w:t>
      </w:r>
    </w:p>
    <w:p w:rsidR="00A33C95" w:rsidRPr="00A33C95" w:rsidRDefault="00A33C95" w:rsidP="005D1177">
      <w:pPr>
        <w:rPr>
          <w:lang w:val="en-GB"/>
        </w:rPr>
      </w:pPr>
      <w:r w:rsidRPr="00A33C95">
        <w:rPr>
          <w:lang w:val="en-GB"/>
        </w:rPr>
        <w:t xml:space="preserve">The nominal amount is calculated with regard to the rates expected to be paid on settlement of the liability. </w:t>
      </w:r>
    </w:p>
    <w:p w:rsidR="00A33C95" w:rsidRPr="00A33C95" w:rsidRDefault="00A33C95" w:rsidP="005D1177">
      <w:pPr>
        <w:rPr>
          <w:lang w:val="en-GB"/>
        </w:rPr>
      </w:pPr>
      <w:r w:rsidRPr="00A33C95">
        <w:rPr>
          <w:lang w:val="en-GB"/>
        </w:rPr>
        <w:t>All other employee benefit liabilities are measured at the present value of the estimated future cash outflows to be made in respect of services provided by employees up to the reporting date.</w:t>
      </w:r>
    </w:p>
    <w:p w:rsidR="00A33C95" w:rsidRPr="00A33C95" w:rsidRDefault="00A33C95" w:rsidP="00A00568">
      <w:pPr>
        <w:pStyle w:val="FinancialsH4"/>
      </w:pPr>
      <w:r w:rsidRPr="00A33C95">
        <w:t>Leave</w:t>
      </w:r>
    </w:p>
    <w:p w:rsidR="00A33C95" w:rsidRPr="00A33C95" w:rsidRDefault="00A33C95" w:rsidP="005D1177">
      <w:pPr>
        <w:rPr>
          <w:lang w:val="en-GB"/>
        </w:rPr>
      </w:pPr>
      <w:r w:rsidRPr="00A33C95">
        <w:rPr>
          <w:lang w:val="en-GB"/>
        </w:rPr>
        <w:t xml:space="preserve">The liability for employee benefits includes provision for annual leave and long service leave. No provision has been made for sick leave as all sick leave is non-vesting. The average sick leave taken in future years by employees of IHPA is estimated to be less than the annual entitlement for sick leave. </w:t>
      </w:r>
    </w:p>
    <w:p w:rsidR="00A33C95" w:rsidRPr="00A33C95" w:rsidRDefault="00A33C95" w:rsidP="005D1177">
      <w:pPr>
        <w:rPr>
          <w:lang w:val="en-GB"/>
        </w:rPr>
      </w:pPr>
      <w:r w:rsidRPr="00A33C95">
        <w:rPr>
          <w:lang w:val="en-GB"/>
        </w:rPr>
        <w:t xml:space="preserve">The leave liabilities are calculated on the basis of employees’ remuneration at the estimated salary rates that will be applied at the time the leave is taken, including IHPA’s employer superannuation contribution rates to the extent that the leave is likely to be taken during service rather than paid out on termination. </w:t>
      </w:r>
    </w:p>
    <w:p w:rsidR="00A33C95" w:rsidRPr="00A33C95" w:rsidRDefault="00A33C95" w:rsidP="005D1177">
      <w:pPr>
        <w:rPr>
          <w:lang w:val="en-GB"/>
        </w:rPr>
      </w:pPr>
      <w:r w:rsidRPr="00A33C95">
        <w:rPr>
          <w:lang w:val="en-GB"/>
        </w:rPr>
        <w:t>The liability for long service leave has been determined by reference to the work of an actuary as at April 2014. The estimate of the present value of the liability takes into account; attrition rates and pay increases through promotion and inflation.</w:t>
      </w:r>
    </w:p>
    <w:p w:rsidR="00A33C95" w:rsidRPr="00A33C95" w:rsidRDefault="00A33C95" w:rsidP="00A00568">
      <w:pPr>
        <w:pStyle w:val="FinancialsH4"/>
      </w:pPr>
      <w:r w:rsidRPr="00A33C95">
        <w:t>Separation and redundancy</w:t>
      </w:r>
    </w:p>
    <w:p w:rsidR="00A33C95" w:rsidRPr="00A33C95" w:rsidRDefault="00A33C95" w:rsidP="005D1177">
      <w:pPr>
        <w:rPr>
          <w:lang w:val="en-GB"/>
        </w:rPr>
      </w:pPr>
      <w:r w:rsidRPr="00A33C95">
        <w:rPr>
          <w:lang w:val="en-GB"/>
        </w:rPr>
        <w:t>Provision is made for separation and redundancy benefit payments. IHPA recognises a provision for termination when it has developed a detailed formal plan for the terminations and has informed those employees affected that it will carry out the terminations.</w:t>
      </w:r>
    </w:p>
    <w:p w:rsidR="00A33C95" w:rsidRPr="00A33C95" w:rsidRDefault="00A33C95" w:rsidP="00A00568">
      <w:pPr>
        <w:pStyle w:val="FinancialsH4"/>
      </w:pPr>
      <w:r w:rsidRPr="00A33C95">
        <w:t>Superannuation</w:t>
      </w:r>
    </w:p>
    <w:p w:rsidR="00A33C95" w:rsidRPr="00A33C95" w:rsidRDefault="00A33C95" w:rsidP="005D1177">
      <w:pPr>
        <w:rPr>
          <w:lang w:val="en-GB"/>
        </w:rPr>
      </w:pPr>
      <w:r w:rsidRPr="00A33C95">
        <w:rPr>
          <w:lang w:val="en-GB"/>
        </w:rPr>
        <w:t xml:space="preserve">The entity’s staff are members funds such as Commonwealth Superannuation Scheme (CSS), the Public Sector Superannuation Scheme (PSS) or the PSS accumulation plan (PSSap). </w:t>
      </w:r>
    </w:p>
    <w:p w:rsidR="00A33C95" w:rsidRPr="00A33C95" w:rsidRDefault="00A33C95" w:rsidP="005D1177">
      <w:pPr>
        <w:rPr>
          <w:lang w:val="en-GB"/>
        </w:rPr>
      </w:pPr>
      <w:r w:rsidRPr="00A33C95">
        <w:rPr>
          <w:lang w:val="en-GB"/>
        </w:rPr>
        <w:t xml:space="preserve">The CSS and PSS are defined benefit schemes for the Australian Government. The PSSap is a defined contribution scheme. </w:t>
      </w:r>
    </w:p>
    <w:p w:rsidR="00A33C95" w:rsidRPr="00A33C95" w:rsidRDefault="00A33C95" w:rsidP="005D1177">
      <w:pPr>
        <w:rPr>
          <w:lang w:val="en-GB"/>
        </w:rPr>
      </w:pPr>
      <w:r w:rsidRPr="00A33C95">
        <w:rPr>
          <w:lang w:val="en-GB"/>
        </w:rPr>
        <w:t xml:space="preserve">The liability for defined benefits is recognised in the financial statements of the Australian Government and is settled by the Australian Government in due course. This liability is reported in the Department of Finance’s administered schedules and notes. </w:t>
      </w:r>
    </w:p>
    <w:p w:rsidR="00A33C95" w:rsidRPr="00A33C95" w:rsidRDefault="00A33C95" w:rsidP="005D1177">
      <w:pPr>
        <w:rPr>
          <w:lang w:val="en-GB"/>
        </w:rPr>
      </w:pPr>
      <w:r w:rsidRPr="00A33C95">
        <w:rPr>
          <w:lang w:val="en-GB"/>
        </w:rPr>
        <w:t xml:space="preserve">The entity makes employer contributions to the employees’ superannuation scheme at rates determined by an actuary to be sufficient to meet the current cost to the Government. The entity accounts for the contributions as if they were contributions to defined contribution plans. </w:t>
      </w:r>
    </w:p>
    <w:p w:rsidR="00A33C95" w:rsidRPr="00A33C95" w:rsidRDefault="00A33C95" w:rsidP="005D1177">
      <w:pPr>
        <w:rPr>
          <w:lang w:val="en-GB"/>
        </w:rPr>
      </w:pPr>
      <w:r w:rsidRPr="00A33C95">
        <w:rPr>
          <w:lang w:val="en-GB"/>
        </w:rPr>
        <w:t>The liability for superannuation recognised as at 30 June represents outstanding contributions for the final fortnight of the year.</w:t>
      </w:r>
    </w:p>
    <w:p w:rsidR="00F75652" w:rsidRDefault="00F75652" w:rsidP="00A00568">
      <w:pPr>
        <w:pStyle w:val="FinancialsH3"/>
      </w:pPr>
      <w:r>
        <w:br w:type="page"/>
      </w:r>
    </w:p>
    <w:p w:rsidR="00A33C95" w:rsidRPr="00A33C95" w:rsidRDefault="00A33C95" w:rsidP="00A00568">
      <w:pPr>
        <w:pStyle w:val="FinancialsH3"/>
      </w:pPr>
      <w:r w:rsidRPr="00A33C95">
        <w:lastRenderedPageBreak/>
        <w:t>1.9 Leases</w:t>
      </w:r>
    </w:p>
    <w:p w:rsidR="00A33C95" w:rsidRPr="00A33C95" w:rsidRDefault="00A33C95" w:rsidP="006B6D5D">
      <w:pPr>
        <w:rPr>
          <w:lang w:val="en-GB"/>
        </w:rPr>
      </w:pPr>
      <w:r w:rsidRPr="00A33C95">
        <w:rPr>
          <w:lang w:val="en-GB"/>
        </w:rPr>
        <w:t xml:space="preserve">All leases are operating leases where the lessor effectively retains substantially all such risks and benefits. </w:t>
      </w:r>
    </w:p>
    <w:p w:rsidR="00A33C95" w:rsidRPr="00A33C95" w:rsidRDefault="00A33C95" w:rsidP="006B6D5D">
      <w:pPr>
        <w:rPr>
          <w:lang w:val="en-GB"/>
        </w:rPr>
      </w:pPr>
      <w:r w:rsidRPr="00A33C95">
        <w:rPr>
          <w:lang w:val="en-GB"/>
        </w:rPr>
        <w:t>Lease incentives are recognised as liabilities and reduced on a straight line basis against rental expense over the term of the lease.</w:t>
      </w:r>
    </w:p>
    <w:p w:rsidR="00A33C95" w:rsidRPr="00A33C95" w:rsidRDefault="00A33C95" w:rsidP="006B6D5D">
      <w:pPr>
        <w:rPr>
          <w:lang w:val="en-GB"/>
        </w:rPr>
      </w:pPr>
      <w:r w:rsidRPr="00A33C95">
        <w:rPr>
          <w:lang w:val="en-GB"/>
        </w:rPr>
        <w:t>Where IHPA has a contractual obligation to undertake remedial work upon vacating a property the estimated cost is recognised as a liability.</w:t>
      </w:r>
    </w:p>
    <w:p w:rsidR="00A33C95" w:rsidRPr="00A33C95" w:rsidRDefault="00A33C95" w:rsidP="00A00568">
      <w:pPr>
        <w:pStyle w:val="FinancialsH3"/>
      </w:pPr>
      <w:r w:rsidRPr="00A33C95">
        <w:t>1.10 Fair value measurement</w:t>
      </w:r>
    </w:p>
    <w:p w:rsidR="00A33C95" w:rsidRPr="00A33C95" w:rsidRDefault="00A33C95" w:rsidP="006B6D5D">
      <w:pPr>
        <w:rPr>
          <w:lang w:val="en-GB"/>
        </w:rPr>
      </w:pPr>
      <w:r w:rsidRPr="00A33C95">
        <w:rPr>
          <w:lang w:val="en-GB"/>
        </w:rPr>
        <w:t>IHPA deems any transfers between levels of the fair value hierarchy to have occurred at the end of the reporting period.</w:t>
      </w:r>
    </w:p>
    <w:p w:rsidR="00A33C95" w:rsidRPr="00A33C95" w:rsidRDefault="00A33C95" w:rsidP="00A00568">
      <w:pPr>
        <w:pStyle w:val="FinancialsH3"/>
      </w:pPr>
      <w:r w:rsidRPr="00A33C95">
        <w:t>1.11 Cash</w:t>
      </w:r>
    </w:p>
    <w:p w:rsidR="00A33C95" w:rsidRPr="00A33C95" w:rsidRDefault="00A33C95" w:rsidP="006B6D5D">
      <w:pPr>
        <w:rPr>
          <w:lang w:val="en-GB"/>
        </w:rPr>
      </w:pPr>
      <w:r w:rsidRPr="00A33C95">
        <w:rPr>
          <w:lang w:val="en-GB"/>
        </w:rPr>
        <w:t xml:space="preserve">Cash is recognised at its nominal amount. Cash and cash equivalents includes: </w:t>
      </w:r>
    </w:p>
    <w:p w:rsidR="00A33C95" w:rsidRPr="006B6D5D" w:rsidRDefault="00A33C95" w:rsidP="006B6D5D">
      <w:pPr>
        <w:pStyle w:val="ListParagraph"/>
        <w:numPr>
          <w:ilvl w:val="0"/>
          <w:numId w:val="46"/>
        </w:numPr>
        <w:rPr>
          <w:lang w:val="en-GB"/>
        </w:rPr>
      </w:pPr>
      <w:r w:rsidRPr="006B6D5D">
        <w:rPr>
          <w:lang w:val="en-GB"/>
        </w:rPr>
        <w:t>Cash on hand; and</w:t>
      </w:r>
    </w:p>
    <w:p w:rsidR="00A33C95" w:rsidRPr="006B6D5D" w:rsidRDefault="00A33C95" w:rsidP="006B6D5D">
      <w:pPr>
        <w:pStyle w:val="ListParagraph"/>
        <w:numPr>
          <w:ilvl w:val="0"/>
          <w:numId w:val="46"/>
        </w:numPr>
        <w:rPr>
          <w:lang w:val="en-GB"/>
        </w:rPr>
      </w:pPr>
      <w:r w:rsidRPr="006B6D5D">
        <w:rPr>
          <w:lang w:val="en-GB"/>
        </w:rPr>
        <w:t>Demand deposits in bank accounts with an original maturity of three months or less that are readily convertible to known amounts of cash and subject to insignificant risk of changes in value.</w:t>
      </w:r>
    </w:p>
    <w:p w:rsidR="00A33C95" w:rsidRPr="006B6D5D" w:rsidRDefault="00A33C95" w:rsidP="00A00568">
      <w:pPr>
        <w:pStyle w:val="FinancialsH3"/>
      </w:pPr>
      <w:r w:rsidRPr="006B6D5D">
        <w:t>1.12 Financial assets</w:t>
      </w:r>
    </w:p>
    <w:p w:rsidR="00A33C95" w:rsidRPr="00A33C95" w:rsidRDefault="00A33C95" w:rsidP="006B6D5D">
      <w:pPr>
        <w:rPr>
          <w:lang w:val="en-GB"/>
        </w:rPr>
      </w:pPr>
      <w:r w:rsidRPr="00A33C95">
        <w:rPr>
          <w:lang w:val="en-GB"/>
        </w:rPr>
        <w:t>IHPA classifies its receivables as financial assets.</w:t>
      </w:r>
    </w:p>
    <w:p w:rsidR="00A33C95" w:rsidRPr="00A33C95" w:rsidRDefault="00A33C95" w:rsidP="006B6D5D">
      <w:pPr>
        <w:rPr>
          <w:lang w:val="en-GB"/>
        </w:rPr>
      </w:pPr>
      <w:r w:rsidRPr="00A33C95">
        <w:rPr>
          <w:lang w:val="en-GB"/>
        </w:rPr>
        <w:t>The classification is based on the nature and purpose of the financial assets and is determined at the time of initial recognition. Financial assets are recognised and derecognised upon trade date.</w:t>
      </w:r>
    </w:p>
    <w:p w:rsidR="00A33C95" w:rsidRPr="00A33C95" w:rsidRDefault="00A33C95" w:rsidP="006B6D5D">
      <w:pPr>
        <w:rPr>
          <w:lang w:val="en-GB"/>
        </w:rPr>
      </w:pPr>
      <w:r w:rsidRPr="00A33C95">
        <w:rPr>
          <w:lang w:val="en-GB"/>
        </w:rPr>
        <w:t>Financial assets are assessed for impairment at the end of each reporting period. Impairment is recognised in the Statement of Comprehensive Income.</w:t>
      </w:r>
    </w:p>
    <w:p w:rsidR="00A33C95" w:rsidRPr="00A33C95" w:rsidRDefault="00A33C95" w:rsidP="00A00568">
      <w:pPr>
        <w:pStyle w:val="FinancialsH4"/>
      </w:pPr>
      <w:r w:rsidRPr="00A33C95">
        <w:t>Effective interest method</w:t>
      </w:r>
    </w:p>
    <w:p w:rsidR="00A33C95" w:rsidRPr="00A33C95" w:rsidRDefault="00A33C95" w:rsidP="00325A61">
      <w:pPr>
        <w:rPr>
          <w:lang w:val="en-GB"/>
        </w:rPr>
      </w:pPr>
      <w:r w:rsidRPr="00A33C95">
        <w:rPr>
          <w:lang w:val="en-GB"/>
        </w:rPr>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A33C95" w:rsidRPr="00A33C95" w:rsidRDefault="00A33C95" w:rsidP="00325A61">
      <w:pPr>
        <w:rPr>
          <w:lang w:val="en-GB"/>
        </w:rPr>
      </w:pPr>
      <w:r w:rsidRPr="00A33C95">
        <w:rPr>
          <w:lang w:val="en-GB"/>
        </w:rPr>
        <w:t>Income is recognised on an effective interest rate basis.</w:t>
      </w:r>
    </w:p>
    <w:p w:rsidR="00A33C95" w:rsidRPr="00A33C95" w:rsidRDefault="00A33C95" w:rsidP="00A00568">
      <w:pPr>
        <w:pStyle w:val="FinancialsH3"/>
      </w:pPr>
      <w:r w:rsidRPr="00A33C95">
        <w:t>1.13 Financial liabilities</w:t>
      </w:r>
    </w:p>
    <w:p w:rsidR="00A33C95" w:rsidRPr="00A33C95" w:rsidRDefault="00A33C95" w:rsidP="00325A61">
      <w:pPr>
        <w:rPr>
          <w:lang w:val="en-GB"/>
        </w:rPr>
      </w:pPr>
      <w:r w:rsidRPr="00A33C95">
        <w:rPr>
          <w:lang w:val="en-GB"/>
        </w:rPr>
        <w:t>Supplier and other payables are recognised at amortised cost. Liabilities are recognised to the extent that the goods or services have been received, irrespective of having been invoiced.</w:t>
      </w:r>
    </w:p>
    <w:p w:rsidR="00A33C95" w:rsidRPr="00A33C95" w:rsidRDefault="00A33C95" w:rsidP="00A00568">
      <w:pPr>
        <w:pStyle w:val="FinancialsH3"/>
      </w:pPr>
      <w:r w:rsidRPr="00A33C95">
        <w:t>1.14 Contingent liabilities and contingent assets</w:t>
      </w:r>
    </w:p>
    <w:p w:rsidR="00A33C95" w:rsidRPr="00A33C95" w:rsidRDefault="00A33C95" w:rsidP="00325A61">
      <w:pPr>
        <w:rPr>
          <w:lang w:val="en-GB"/>
        </w:rPr>
      </w:pPr>
      <w:r w:rsidRPr="00A33C95">
        <w:rPr>
          <w:lang w:val="en-GB"/>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A33C95" w:rsidRPr="00A33C95" w:rsidRDefault="00A33C95" w:rsidP="00325A61">
      <w:pPr>
        <w:rPr>
          <w:lang w:val="en-GB"/>
        </w:rPr>
      </w:pPr>
      <w:r w:rsidRPr="00A33C95">
        <w:rPr>
          <w:lang w:val="en-GB"/>
        </w:rPr>
        <w:t>There are no quantifiable, unquantifiable or significant remote contingencies in either the current or immediately preceding reporting period.</w:t>
      </w:r>
    </w:p>
    <w:p w:rsidR="00A33C95" w:rsidRPr="00A33C95" w:rsidRDefault="00A33C95" w:rsidP="00A00568">
      <w:pPr>
        <w:pStyle w:val="FinancialsH3"/>
      </w:pPr>
      <w:r w:rsidRPr="00A33C95">
        <w:t>1.15 Acquisition of assets</w:t>
      </w:r>
    </w:p>
    <w:p w:rsidR="00A33C95" w:rsidRPr="00A33C95" w:rsidRDefault="00A33C95" w:rsidP="00325A61">
      <w:pPr>
        <w:rPr>
          <w:lang w:val="en-GB"/>
        </w:rPr>
      </w:pPr>
      <w:r w:rsidRPr="00A33C95">
        <w:rPr>
          <w:lang w:val="en-GB"/>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rsidR="00A33C95" w:rsidRPr="00A33C95" w:rsidRDefault="00A33C95" w:rsidP="00325A61">
      <w:pPr>
        <w:rPr>
          <w:lang w:val="en-GB"/>
        </w:rPr>
      </w:pPr>
      <w:r w:rsidRPr="00A33C95">
        <w:rPr>
          <w:lang w:val="en-GB"/>
        </w:rPr>
        <w:lastRenderedPageBreak/>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rsidR="00A33C95" w:rsidRPr="00A33C95" w:rsidRDefault="00A33C95" w:rsidP="00A00568">
      <w:pPr>
        <w:pStyle w:val="FinancialsH3"/>
      </w:pPr>
      <w:r w:rsidRPr="00A33C95">
        <w:t>1.16 Leasehold improvements, plant and equipment</w:t>
      </w:r>
    </w:p>
    <w:p w:rsidR="00A33C95" w:rsidRPr="00A33C95" w:rsidRDefault="00A33C95" w:rsidP="00A00568">
      <w:pPr>
        <w:pStyle w:val="FinancialsH4"/>
      </w:pPr>
      <w:r w:rsidRPr="00A33C95">
        <w:t>Asset recognition threshold</w:t>
      </w:r>
    </w:p>
    <w:p w:rsidR="00A33C95" w:rsidRPr="00A33C95" w:rsidRDefault="00A33C95" w:rsidP="00325A61">
      <w:pPr>
        <w:rPr>
          <w:lang w:val="en-GB"/>
        </w:rPr>
      </w:pPr>
      <w:r w:rsidRPr="00A33C95">
        <w:rPr>
          <w:lang w:val="en-GB"/>
        </w:rPr>
        <w:t>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 total).</w:t>
      </w:r>
    </w:p>
    <w:p w:rsidR="00A33C95" w:rsidRPr="00A33C95" w:rsidRDefault="00A33C95" w:rsidP="00325A61">
      <w:pPr>
        <w:rPr>
          <w:lang w:val="en-GB"/>
        </w:rPr>
      </w:pPr>
      <w:r w:rsidRPr="00A33C95">
        <w:rPr>
          <w:lang w:val="en-GB"/>
        </w:rPr>
        <w:t>The initial cost of an asset includes an estimate of the cost of dismantling and removing the item and restoring the site on which it is located. A corresponding provision for the ‘make good’ is taken up. This particularly applies to the IHPA property lease that contains an obligation to return the property in its original condition.</w:t>
      </w:r>
    </w:p>
    <w:p w:rsidR="00A33C95" w:rsidRPr="00A33C95" w:rsidRDefault="00A33C95" w:rsidP="00A00568">
      <w:pPr>
        <w:pStyle w:val="FinancialsH4"/>
      </w:pPr>
      <w:r w:rsidRPr="00A33C95">
        <w:t>Revaluations</w:t>
      </w:r>
    </w:p>
    <w:p w:rsidR="00A33C95" w:rsidRPr="00A33C95" w:rsidRDefault="00A33C95" w:rsidP="00325A61">
      <w:pPr>
        <w:rPr>
          <w:lang w:val="en-GB"/>
        </w:rPr>
      </w:pPr>
      <w:r w:rsidRPr="00A33C95">
        <w:rPr>
          <w:lang w:val="en-GB"/>
        </w:rPr>
        <w:t xml:space="preserve">Following initial recognition at cost, property, plant and equipment were carried at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depends upon the volatility of movements in market values for the relevant assets. </w:t>
      </w:r>
    </w:p>
    <w:p w:rsidR="00A33C95" w:rsidRPr="00A33C95" w:rsidRDefault="00A33C95" w:rsidP="00325A61">
      <w:pPr>
        <w:rPr>
          <w:lang w:val="en-GB"/>
        </w:rPr>
      </w:pPr>
      <w:r w:rsidRPr="00A33C95">
        <w:rPr>
          <w:lang w:val="en-GB"/>
        </w:rPr>
        <w:t>Revaluation adjustments are made on a class basis. Any revaluation increment is credited to equity under the heading of asset revaluation reserve except to the extent that it reversed a previous revaluation decrement of the same asset class that was previously recognised through the statement of comprehensive income. Revaluation decrements for a class of assets are recognised directly through the statement of comprehensive income except to the extent that they reverse a previous revaluation increment for that class.</w:t>
      </w:r>
    </w:p>
    <w:p w:rsidR="00A33C95" w:rsidRPr="00A33C95" w:rsidRDefault="00A33C95" w:rsidP="00325A61">
      <w:pPr>
        <w:rPr>
          <w:lang w:val="en-GB"/>
        </w:rPr>
      </w:pPr>
      <w:r w:rsidRPr="00A33C95">
        <w:rPr>
          <w:lang w:val="en-GB"/>
        </w:rPr>
        <w:t>Any accumulated depreciation as at the revaluation date is eliminated against the gross carrying amount of the asset and the asset restated to the revalued amount.</w:t>
      </w:r>
    </w:p>
    <w:p w:rsidR="00A33C95" w:rsidRPr="00A33C95" w:rsidRDefault="00A33C95" w:rsidP="00A00568">
      <w:pPr>
        <w:pStyle w:val="FinancialsH4"/>
      </w:pPr>
      <w:r w:rsidRPr="00A33C95">
        <w:t>Depreciation</w:t>
      </w:r>
    </w:p>
    <w:p w:rsidR="00A33C95" w:rsidRPr="00A33C95" w:rsidRDefault="00A33C95" w:rsidP="00325A61">
      <w:pPr>
        <w:rPr>
          <w:lang w:val="en-GB"/>
        </w:rPr>
      </w:pPr>
      <w:r w:rsidRPr="00A33C95">
        <w:rPr>
          <w:lang w:val="en-GB"/>
        </w:rPr>
        <w:t>Depreciable property, plant and equipment assets are written-off to their estimated residual values over their estimated useful lives to IHPA using, in all cases, the straight-line method of depreciation. Leasehold improvements are depreciated on a straight-line basis over the lesser of the estimated useful life of the improvements or the unexpired period of the lease.</w:t>
      </w:r>
    </w:p>
    <w:p w:rsidR="00A33C95" w:rsidRPr="00A33C95" w:rsidRDefault="00A33C95" w:rsidP="00325A61">
      <w:pPr>
        <w:rPr>
          <w:lang w:val="en-GB"/>
        </w:rPr>
      </w:pPr>
      <w:r w:rsidRPr="00A33C95">
        <w:rPr>
          <w:lang w:val="en-GB"/>
        </w:rPr>
        <w:t xml:space="preserve">Depreciation rates (useful lives), residual values and methods are reviewed at each balance date and necessary adjustments are recognised in the current, or current and future reporting periods, as appropriate. </w:t>
      </w:r>
    </w:p>
    <w:p w:rsidR="00A33C95" w:rsidRPr="00A33C95" w:rsidRDefault="00A33C95" w:rsidP="00325A61">
      <w:pPr>
        <w:rPr>
          <w:lang w:val="en-GB"/>
        </w:rPr>
      </w:pPr>
      <w:r w:rsidRPr="00A33C95">
        <w:rPr>
          <w:lang w:val="en-GB"/>
        </w:rPr>
        <w:t xml:space="preserve">Depreciation rates applying to each class of depreciable asset are based on the following useful lives, which are the same as last year: </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Asset classes"/>
      </w:tblPr>
      <w:tblGrid>
        <w:gridCol w:w="4962"/>
        <w:gridCol w:w="2439"/>
        <w:gridCol w:w="2440"/>
      </w:tblGrid>
      <w:tr w:rsidR="00A33C95" w:rsidRPr="00325A61" w:rsidTr="00B532D1">
        <w:trPr>
          <w:cnfStyle w:val="100000000000" w:firstRow="1" w:lastRow="0" w:firstColumn="0" w:lastColumn="0" w:oddVBand="0" w:evenVBand="0" w:oddHBand="0" w:evenHBand="0" w:firstRowFirstColumn="0" w:firstRowLastColumn="0" w:lastRowFirstColumn="0" w:lastRowLastColumn="0"/>
          <w:trHeight w:val="60"/>
        </w:trPr>
        <w:tc>
          <w:tcPr>
            <w:tcW w:w="4962" w:type="dxa"/>
          </w:tcPr>
          <w:p w:rsidR="00A33C95" w:rsidRPr="00325A61" w:rsidRDefault="00A33C95" w:rsidP="00325A61">
            <w:pPr>
              <w:pStyle w:val="TableText"/>
            </w:pPr>
            <w:r w:rsidRPr="00325A61">
              <w:t xml:space="preserve">Asset class </w:t>
            </w:r>
          </w:p>
        </w:tc>
        <w:tc>
          <w:tcPr>
            <w:tcW w:w="2439" w:type="dxa"/>
          </w:tcPr>
          <w:p w:rsidR="00A33C95" w:rsidRPr="00325A61" w:rsidRDefault="00A33C95" w:rsidP="00325A61">
            <w:pPr>
              <w:pStyle w:val="TableText"/>
            </w:pPr>
            <w:r w:rsidRPr="00325A61">
              <w:t>Useful life 2014–15</w:t>
            </w:r>
          </w:p>
        </w:tc>
        <w:tc>
          <w:tcPr>
            <w:tcW w:w="2440" w:type="dxa"/>
          </w:tcPr>
          <w:p w:rsidR="00A33C95" w:rsidRPr="00325A61" w:rsidRDefault="00A33C95" w:rsidP="00325A61">
            <w:pPr>
              <w:pStyle w:val="TableText"/>
            </w:pPr>
            <w:r w:rsidRPr="00325A61">
              <w:t>Useful life 2013–14</w:t>
            </w:r>
          </w:p>
        </w:tc>
      </w:tr>
      <w:tr w:rsidR="00A33C95" w:rsidRPr="00325A61" w:rsidTr="00B532D1">
        <w:trPr>
          <w:trHeight w:val="60"/>
        </w:trPr>
        <w:tc>
          <w:tcPr>
            <w:tcW w:w="4962" w:type="dxa"/>
          </w:tcPr>
          <w:p w:rsidR="00A33C95" w:rsidRPr="00325A61" w:rsidRDefault="00A33C95" w:rsidP="00325A61">
            <w:pPr>
              <w:pStyle w:val="TableText"/>
            </w:pPr>
            <w:r w:rsidRPr="00325A61">
              <w:t>Leasehold improvements</w:t>
            </w:r>
          </w:p>
        </w:tc>
        <w:tc>
          <w:tcPr>
            <w:tcW w:w="2439" w:type="dxa"/>
          </w:tcPr>
          <w:p w:rsidR="00A33C95" w:rsidRPr="00325A61" w:rsidRDefault="00A33C95" w:rsidP="00325A61">
            <w:pPr>
              <w:pStyle w:val="TableText"/>
            </w:pPr>
            <w:r w:rsidRPr="00325A61">
              <w:t>Lease term</w:t>
            </w:r>
          </w:p>
        </w:tc>
        <w:tc>
          <w:tcPr>
            <w:tcW w:w="2440" w:type="dxa"/>
          </w:tcPr>
          <w:p w:rsidR="00A33C95" w:rsidRPr="00325A61" w:rsidRDefault="00A33C95" w:rsidP="00325A61">
            <w:pPr>
              <w:pStyle w:val="TableText"/>
            </w:pPr>
            <w:r w:rsidRPr="00325A61">
              <w:t>Lease term</w:t>
            </w:r>
          </w:p>
        </w:tc>
      </w:tr>
      <w:tr w:rsidR="00A33C95" w:rsidRPr="00325A61" w:rsidTr="00C41F10">
        <w:trPr>
          <w:trHeight w:val="97"/>
        </w:trPr>
        <w:tc>
          <w:tcPr>
            <w:tcW w:w="4962" w:type="dxa"/>
          </w:tcPr>
          <w:p w:rsidR="00A33C95" w:rsidRPr="00325A61" w:rsidRDefault="00A33C95" w:rsidP="00325A61">
            <w:pPr>
              <w:pStyle w:val="TableText"/>
            </w:pPr>
            <w:r w:rsidRPr="00325A61">
              <w:t>Other plant and equipment</w:t>
            </w:r>
          </w:p>
        </w:tc>
        <w:tc>
          <w:tcPr>
            <w:tcW w:w="2439" w:type="dxa"/>
          </w:tcPr>
          <w:p w:rsidR="00A33C95" w:rsidRPr="00325A61" w:rsidRDefault="00A33C95" w:rsidP="00325A61">
            <w:pPr>
              <w:pStyle w:val="TableText"/>
            </w:pPr>
            <w:r w:rsidRPr="00325A61">
              <w:t>3–10 years</w:t>
            </w:r>
          </w:p>
        </w:tc>
        <w:tc>
          <w:tcPr>
            <w:tcW w:w="2440" w:type="dxa"/>
          </w:tcPr>
          <w:p w:rsidR="00A33C95" w:rsidRPr="00325A61" w:rsidRDefault="00A33C95" w:rsidP="00325A61">
            <w:pPr>
              <w:pStyle w:val="TableText"/>
            </w:pPr>
            <w:r w:rsidRPr="00325A61">
              <w:t>3–10 years</w:t>
            </w:r>
          </w:p>
        </w:tc>
      </w:tr>
    </w:tbl>
    <w:p w:rsidR="00A33C95" w:rsidRPr="00A33C95" w:rsidRDefault="00A33C95" w:rsidP="00325A61">
      <w:pPr>
        <w:rPr>
          <w:lang w:val="en-GB"/>
        </w:rPr>
      </w:pPr>
      <w:r w:rsidRPr="00A33C95">
        <w:rPr>
          <w:lang w:val="en-GB"/>
        </w:rPr>
        <w:t>The aggregate amount of depreciation allocated for each class of asset during the reporting period is disclosed in Note 3C.</w:t>
      </w:r>
    </w:p>
    <w:p w:rsidR="00A33C95" w:rsidRPr="00A33C95" w:rsidRDefault="00A33C95" w:rsidP="00A00568">
      <w:pPr>
        <w:pStyle w:val="FinancialsH4"/>
      </w:pPr>
      <w:r w:rsidRPr="00A33C95">
        <w:lastRenderedPageBreak/>
        <w:t>Impairment</w:t>
      </w:r>
    </w:p>
    <w:p w:rsidR="00A33C95" w:rsidRPr="00A33C95" w:rsidRDefault="00A33C95" w:rsidP="00325A61">
      <w:pPr>
        <w:rPr>
          <w:lang w:val="en-GB"/>
        </w:rPr>
      </w:pPr>
      <w:r w:rsidRPr="00A33C95">
        <w:rPr>
          <w:lang w:val="en-GB"/>
        </w:rPr>
        <w:t xml:space="preserve">All assets were assessed for impairment as at 30 June 2015. Where indications of impairment exist, the asset’s recoverable amount is estimated and an impairment adjustment made if the asset’s recoverable amount is less than its carrying amount. </w:t>
      </w:r>
    </w:p>
    <w:p w:rsidR="00A33C95" w:rsidRPr="00A33C95" w:rsidRDefault="00A33C95" w:rsidP="00325A61">
      <w:pPr>
        <w:rPr>
          <w:lang w:val="en-GB"/>
        </w:rPr>
      </w:pPr>
      <w:r w:rsidRPr="00A33C95">
        <w:rPr>
          <w:lang w:val="en-GB"/>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IHPA was deprived of the asset, its value in use is taken to be its depreciated replacement cost.</w:t>
      </w:r>
    </w:p>
    <w:p w:rsidR="00A33C95" w:rsidRPr="00A33C95" w:rsidRDefault="00A33C95" w:rsidP="00A00568">
      <w:pPr>
        <w:pStyle w:val="FinancialsH4"/>
      </w:pPr>
      <w:r w:rsidRPr="00A33C95">
        <w:t>Derecognition</w:t>
      </w:r>
    </w:p>
    <w:p w:rsidR="00A33C95" w:rsidRPr="00A33C95" w:rsidRDefault="00A33C95" w:rsidP="00325A61">
      <w:pPr>
        <w:rPr>
          <w:lang w:val="en-GB"/>
        </w:rPr>
      </w:pPr>
      <w:r w:rsidRPr="00A33C95">
        <w:rPr>
          <w:lang w:val="en-GB"/>
        </w:rPr>
        <w:t>An item of property, plant and equipment is derecognised upon disposal or when no further future economic benefits are expected from its use or disposal.</w:t>
      </w:r>
    </w:p>
    <w:p w:rsidR="00A33C95" w:rsidRPr="00A33C95" w:rsidRDefault="00A33C95" w:rsidP="00A00568">
      <w:pPr>
        <w:pStyle w:val="FinancialsH3"/>
      </w:pPr>
      <w:r w:rsidRPr="00A33C95">
        <w:t>1.17 Intangibles</w:t>
      </w:r>
    </w:p>
    <w:p w:rsidR="00A33C95" w:rsidRPr="00A33C95" w:rsidRDefault="00A33C95" w:rsidP="00325A61">
      <w:pPr>
        <w:rPr>
          <w:lang w:val="en-GB"/>
        </w:rPr>
      </w:pPr>
      <w:r w:rsidRPr="00A33C95">
        <w:rPr>
          <w:lang w:val="en-GB"/>
        </w:rPr>
        <w:t>IHPA’s intangible assets comprise access to intellectual property used to design classification systems and software purchases. These assets are carried at cost less accumulated amortisation and accumulated impairment losses if purchased for $2,000 or more. Intangibles costing less than $2,000 are expensed in the year of acquisition (other than where they form part of a group of similar items which are significant in total).</w:t>
      </w:r>
    </w:p>
    <w:p w:rsidR="00A33C95" w:rsidRPr="00A33C95" w:rsidRDefault="00A33C95" w:rsidP="00325A61">
      <w:pPr>
        <w:rPr>
          <w:lang w:val="en-GB"/>
        </w:rPr>
      </w:pPr>
      <w:r w:rsidRPr="00A33C95">
        <w:rPr>
          <w:lang w:val="en-GB"/>
        </w:rPr>
        <w:t>Intangibles are amortised on a straight-line basis over their anticipated useful life. The useful life of IHPA’s intangibles is one to five years (2014: three years).</w:t>
      </w:r>
    </w:p>
    <w:p w:rsidR="00A33C95" w:rsidRPr="00A33C95" w:rsidRDefault="00A33C95" w:rsidP="00325A61">
      <w:pPr>
        <w:rPr>
          <w:lang w:val="en-GB"/>
        </w:rPr>
      </w:pPr>
      <w:r w:rsidRPr="00A33C95">
        <w:rPr>
          <w:lang w:val="en-GB"/>
        </w:rPr>
        <w:t>All intangible assets were assessed for indications of impairment as at 30 June 2015 and none were found to be impaired.</w:t>
      </w:r>
    </w:p>
    <w:p w:rsidR="00A33C95" w:rsidRPr="00325A61" w:rsidRDefault="00A33C95" w:rsidP="00A00568">
      <w:pPr>
        <w:pStyle w:val="FinancialsH3"/>
      </w:pPr>
      <w:r w:rsidRPr="00325A61">
        <w:t>1.18 Taxation</w:t>
      </w:r>
    </w:p>
    <w:p w:rsidR="00A33C95" w:rsidRPr="00A33C95" w:rsidRDefault="00A33C95" w:rsidP="00325A61">
      <w:pPr>
        <w:rPr>
          <w:lang w:val="en-GB"/>
        </w:rPr>
      </w:pPr>
      <w:r w:rsidRPr="00A33C95">
        <w:rPr>
          <w:lang w:val="en-GB"/>
        </w:rPr>
        <w:t>IHPA is exempt from all forms of taxation except Fringe Benefits Tax (FBT) and the Goods and Services Tax (GST).</w:t>
      </w:r>
    </w:p>
    <w:p w:rsidR="00A33C95" w:rsidRPr="00A33C95" w:rsidRDefault="00A33C95" w:rsidP="00325A61">
      <w:pPr>
        <w:rPr>
          <w:lang w:val="en-GB"/>
        </w:rPr>
      </w:pPr>
      <w:r w:rsidRPr="00A33C95">
        <w:rPr>
          <w:lang w:val="en-GB"/>
        </w:rPr>
        <w:t>Revenues, expenses, assets and liabilities are recognised net of GST except:</w:t>
      </w:r>
    </w:p>
    <w:p w:rsidR="00A33C95" w:rsidRPr="00325A61" w:rsidRDefault="00A33C95" w:rsidP="00325A61">
      <w:pPr>
        <w:pStyle w:val="ListParagraph"/>
        <w:numPr>
          <w:ilvl w:val="0"/>
          <w:numId w:val="48"/>
        </w:numPr>
        <w:rPr>
          <w:lang w:val="en-GB"/>
        </w:rPr>
      </w:pPr>
      <w:r w:rsidRPr="00325A61">
        <w:rPr>
          <w:lang w:val="en-GB"/>
        </w:rPr>
        <w:t>Where the amount of GST incurred is not recoverable from the Australian Taxation office; and</w:t>
      </w:r>
    </w:p>
    <w:p w:rsidR="00425FBA" w:rsidRDefault="00A33C95" w:rsidP="00425FBA">
      <w:pPr>
        <w:pStyle w:val="ListParagraph"/>
        <w:numPr>
          <w:ilvl w:val="0"/>
          <w:numId w:val="48"/>
        </w:numPr>
        <w:rPr>
          <w:lang w:val="en-GB"/>
        </w:rPr>
      </w:pPr>
      <w:r w:rsidRPr="00325A61">
        <w:rPr>
          <w:lang w:val="en-GB"/>
        </w:rPr>
        <w:t>For receivables and payables.</w:t>
      </w:r>
    </w:p>
    <w:p w:rsidR="006C1EAA" w:rsidRPr="00A00568" w:rsidRDefault="006C1EAA" w:rsidP="00A00568">
      <w:pPr>
        <w:pStyle w:val="FinancialsH2"/>
      </w:pPr>
      <w:bookmarkStart w:id="25" w:name="_Toc433193205"/>
      <w:r w:rsidRPr="00A00568">
        <w:t>Note 2: Events after the reporting period</w:t>
      </w:r>
      <w:bookmarkEnd w:id="25"/>
    </w:p>
    <w:p w:rsidR="006C1EAA" w:rsidRPr="006C1EAA" w:rsidRDefault="006C1EAA" w:rsidP="00A00568">
      <w:pPr>
        <w:pStyle w:val="FinancialsH3"/>
      </w:pPr>
      <w:r w:rsidRPr="006C1EAA">
        <w:t>Departmental</w:t>
      </w:r>
    </w:p>
    <w:p w:rsidR="006C1EAA" w:rsidRPr="006C1EAA" w:rsidRDefault="006C1EAA" w:rsidP="006C1EAA">
      <w:pPr>
        <w:rPr>
          <w:lang w:val="en-GB"/>
        </w:rPr>
      </w:pPr>
      <w:r w:rsidRPr="006C1EAA">
        <w:rPr>
          <w:lang w:val="en-GB"/>
        </w:rPr>
        <w:t>The Australian Government has made a decision to not proceed with the establishment of a Health Productivity and Performance Commission. From 1 July 2016, the IHPA Board and CEO will remain independent and will be supported in their operations by the Australian Government Department of Health.</w:t>
      </w:r>
    </w:p>
    <w:p w:rsidR="008D196A" w:rsidRDefault="008D196A" w:rsidP="008D196A">
      <w:pPr>
        <w:pStyle w:val="FinancialsH2"/>
        <w:rPr>
          <w:lang w:val="en-GB"/>
        </w:rPr>
      </w:pPr>
      <w:r>
        <w:rPr>
          <w:lang w:val="en-GB"/>
        </w:rPr>
        <w:br w:type="page"/>
      </w:r>
    </w:p>
    <w:p w:rsidR="006C1EAA" w:rsidRDefault="008D196A" w:rsidP="002C7080">
      <w:pPr>
        <w:pStyle w:val="FinancialsH2"/>
        <w:spacing w:after="240"/>
        <w:rPr>
          <w:lang w:val="en-GB"/>
        </w:rPr>
      </w:pPr>
      <w:bookmarkStart w:id="26" w:name="_Toc433193206"/>
      <w:r w:rsidRPr="008D196A">
        <w:rPr>
          <w:lang w:val="en-GB"/>
        </w:rPr>
        <w:lastRenderedPageBreak/>
        <w:t>Note 3: Expenses</w:t>
      </w:r>
      <w:bookmarkEnd w:id="26"/>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Expenses"/>
      </w:tblPr>
      <w:tblGrid>
        <w:gridCol w:w="5670"/>
        <w:gridCol w:w="1134"/>
        <w:gridCol w:w="1560"/>
        <w:gridCol w:w="1477"/>
      </w:tblGrid>
      <w:tr w:rsidR="00393F00" w:rsidRPr="008D196A" w:rsidTr="00393F00">
        <w:trPr>
          <w:cnfStyle w:val="100000000000" w:firstRow="1" w:lastRow="0" w:firstColumn="0" w:lastColumn="0" w:oddVBand="0" w:evenVBand="0" w:oddHBand="0" w:evenHBand="0" w:firstRowFirstColumn="0" w:firstRowLastColumn="0" w:lastRowFirstColumn="0" w:lastRowLastColumn="0"/>
          <w:trHeight w:val="60"/>
        </w:trPr>
        <w:tc>
          <w:tcPr>
            <w:tcW w:w="5670" w:type="dxa"/>
          </w:tcPr>
          <w:p w:rsidR="00393F00" w:rsidRPr="008D196A" w:rsidRDefault="00393F00" w:rsidP="008D196A">
            <w:pPr>
              <w:pStyle w:val="FinancialsTableText"/>
            </w:pPr>
          </w:p>
        </w:tc>
        <w:tc>
          <w:tcPr>
            <w:tcW w:w="1134" w:type="dxa"/>
            <w:vAlign w:val="top"/>
          </w:tcPr>
          <w:p w:rsidR="00393F00" w:rsidRPr="00393F00" w:rsidRDefault="00393F00" w:rsidP="00393F00">
            <w:pPr>
              <w:pStyle w:val="FinancialsTableText"/>
              <w:jc w:val="right"/>
            </w:pPr>
            <w:r w:rsidRPr="00393F00">
              <w:t>2015</w:t>
            </w:r>
            <w:r>
              <w:br/>
            </w:r>
            <w:r w:rsidRPr="00393F00">
              <w:rPr>
                <w:b w:val="0"/>
              </w:rPr>
              <w:t>$’000</w:t>
            </w:r>
          </w:p>
        </w:tc>
        <w:tc>
          <w:tcPr>
            <w:tcW w:w="1560" w:type="dxa"/>
            <w:vAlign w:val="top"/>
          </w:tcPr>
          <w:p w:rsidR="00393F00" w:rsidRPr="00393F00" w:rsidRDefault="00393F00" w:rsidP="00393F00">
            <w:pPr>
              <w:pStyle w:val="FinancialsTableText"/>
              <w:jc w:val="right"/>
            </w:pPr>
            <w:r>
              <w:t>2014</w:t>
            </w:r>
            <w:r>
              <w:br/>
            </w:r>
            <w:r w:rsidRPr="00393F00">
              <w:rPr>
                <w:b w:val="0"/>
              </w:rPr>
              <w:t>$’000</w:t>
            </w:r>
            <w:r w:rsidRPr="00393F00">
              <w:rPr>
                <w:b w:val="0"/>
              </w:rPr>
              <w:br/>
              <w:t>Departmental</w:t>
            </w:r>
          </w:p>
        </w:tc>
        <w:tc>
          <w:tcPr>
            <w:tcW w:w="1477" w:type="dxa"/>
            <w:shd w:val="clear" w:color="auto" w:fill="E6E7E9"/>
            <w:vAlign w:val="top"/>
          </w:tcPr>
          <w:p w:rsidR="00393F00" w:rsidRPr="00393F00" w:rsidRDefault="00393F00" w:rsidP="00393F00">
            <w:pPr>
              <w:pStyle w:val="FinancialsTableText"/>
              <w:jc w:val="right"/>
            </w:pPr>
            <w:r>
              <w:t>2014</w:t>
            </w:r>
            <w:r>
              <w:br/>
            </w:r>
            <w:r w:rsidRPr="00393F00">
              <w:rPr>
                <w:b w:val="0"/>
              </w:rPr>
              <w:t>$’000</w:t>
            </w:r>
            <w:r w:rsidRPr="00393F00">
              <w:rPr>
                <w:b w:val="0"/>
              </w:rPr>
              <w:br/>
              <w:t>Administered</w:t>
            </w:r>
          </w:p>
        </w:tc>
      </w:tr>
      <w:tr w:rsidR="008D196A" w:rsidRPr="008D196A" w:rsidTr="00393F00">
        <w:trPr>
          <w:trHeight w:val="60"/>
        </w:trPr>
        <w:tc>
          <w:tcPr>
            <w:tcW w:w="8364" w:type="dxa"/>
            <w:gridSpan w:val="3"/>
          </w:tcPr>
          <w:p w:rsidR="008D196A" w:rsidRPr="008D196A" w:rsidRDefault="008D196A" w:rsidP="005C28B0">
            <w:pPr>
              <w:pStyle w:val="FinancialsTableH1"/>
              <w:rPr>
                <w:lang w:val="en-GB"/>
              </w:rPr>
            </w:pPr>
            <w:r w:rsidRPr="008D196A">
              <w:rPr>
                <w:lang w:val="en-GB"/>
              </w:rPr>
              <w:t>Note 3A: Employee benefits</w:t>
            </w:r>
          </w:p>
        </w:tc>
        <w:tc>
          <w:tcPr>
            <w:tcW w:w="1477" w:type="dxa"/>
            <w:shd w:val="clear" w:color="auto" w:fill="E6E7E9"/>
          </w:tcPr>
          <w:p w:rsidR="008D196A" w:rsidRPr="008D196A" w:rsidRDefault="008D196A" w:rsidP="008D196A">
            <w:pPr>
              <w:pStyle w:val="FinancialsTableText"/>
            </w:pPr>
          </w:p>
        </w:tc>
      </w:tr>
      <w:tr w:rsidR="009427A1" w:rsidRPr="008D196A" w:rsidTr="00393F00">
        <w:trPr>
          <w:trHeight w:val="99"/>
        </w:trPr>
        <w:tc>
          <w:tcPr>
            <w:tcW w:w="5670" w:type="dxa"/>
          </w:tcPr>
          <w:p w:rsidR="008D196A" w:rsidRPr="009427A1" w:rsidRDefault="008D196A" w:rsidP="009427A1">
            <w:pPr>
              <w:pStyle w:val="FinancialsTableText"/>
            </w:pPr>
            <w:r w:rsidRPr="009427A1">
              <w:t>Wages and salaries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5,201 </w:t>
            </w:r>
          </w:p>
        </w:tc>
        <w:tc>
          <w:tcPr>
            <w:tcW w:w="1560" w:type="dxa"/>
          </w:tcPr>
          <w:p w:rsidR="008D196A" w:rsidRPr="008D196A" w:rsidRDefault="008D196A" w:rsidP="00313127">
            <w:pPr>
              <w:pStyle w:val="FinancialsTableText"/>
              <w:jc w:val="right"/>
              <w:rPr>
                <w:lang w:val="en-GB"/>
              </w:rPr>
            </w:pPr>
            <w:r w:rsidRPr="008D196A">
              <w:rPr>
                <w:lang w:val="en-GB"/>
              </w:rPr>
              <w:t xml:space="preserve"> 5,568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9427A1" w:rsidRDefault="008D196A" w:rsidP="009427A1">
            <w:pPr>
              <w:pStyle w:val="FinancialsTableText"/>
            </w:pPr>
            <w:r w:rsidRPr="009427A1">
              <w:t>Superannuation</w:t>
            </w:r>
          </w:p>
        </w:tc>
        <w:tc>
          <w:tcPr>
            <w:tcW w:w="1134" w:type="dxa"/>
          </w:tcPr>
          <w:p w:rsidR="008D196A" w:rsidRPr="008D196A" w:rsidRDefault="008D196A" w:rsidP="00313127">
            <w:pPr>
              <w:pStyle w:val="FinancialsTableText"/>
              <w:jc w:val="right"/>
            </w:pPr>
          </w:p>
        </w:tc>
        <w:tc>
          <w:tcPr>
            <w:tcW w:w="1560" w:type="dxa"/>
          </w:tcPr>
          <w:p w:rsidR="008D196A" w:rsidRPr="008D196A" w:rsidRDefault="008D196A" w:rsidP="00313127">
            <w:pPr>
              <w:pStyle w:val="FinancialsTableText"/>
              <w:jc w:val="right"/>
            </w:pPr>
          </w:p>
        </w:tc>
        <w:tc>
          <w:tcPr>
            <w:tcW w:w="1477" w:type="dxa"/>
            <w:shd w:val="clear" w:color="auto" w:fill="E6E7E9"/>
          </w:tcPr>
          <w:p w:rsidR="008D196A" w:rsidRPr="008D196A" w:rsidRDefault="008D196A" w:rsidP="00313127">
            <w:pPr>
              <w:pStyle w:val="FinancialsTableText"/>
              <w:jc w:val="right"/>
            </w:pPr>
          </w:p>
        </w:tc>
      </w:tr>
      <w:tr w:rsidR="009427A1" w:rsidRPr="008D196A" w:rsidTr="00393F00">
        <w:trPr>
          <w:trHeight w:val="106"/>
        </w:trPr>
        <w:tc>
          <w:tcPr>
            <w:tcW w:w="5670" w:type="dxa"/>
          </w:tcPr>
          <w:p w:rsidR="008D196A" w:rsidRPr="008D196A" w:rsidRDefault="008D196A" w:rsidP="009427A1">
            <w:pPr>
              <w:pStyle w:val="FinancialsTableTextIndented"/>
              <w:rPr>
                <w:lang w:val="en-GB"/>
              </w:rPr>
            </w:pPr>
            <w:r w:rsidRPr="008D196A">
              <w:rPr>
                <w:lang w:val="en-GB"/>
              </w:rPr>
              <w:t>Defined contribution plans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431 </w:t>
            </w:r>
          </w:p>
        </w:tc>
        <w:tc>
          <w:tcPr>
            <w:tcW w:w="1560" w:type="dxa"/>
          </w:tcPr>
          <w:p w:rsidR="008D196A" w:rsidRPr="008D196A" w:rsidRDefault="008D196A" w:rsidP="00313127">
            <w:pPr>
              <w:pStyle w:val="FinancialsTableText"/>
              <w:jc w:val="right"/>
              <w:rPr>
                <w:lang w:val="en-GB"/>
              </w:rPr>
            </w:pPr>
            <w:r w:rsidRPr="008D196A">
              <w:rPr>
                <w:lang w:val="en-GB"/>
              </w:rPr>
              <w:t xml:space="preserve"> 328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9427A1">
            <w:pPr>
              <w:pStyle w:val="FinancialsTableTextIndented"/>
              <w:rPr>
                <w:lang w:val="en-GB"/>
              </w:rPr>
            </w:pPr>
            <w:r w:rsidRPr="008D196A">
              <w:rPr>
                <w:lang w:val="en-GB"/>
              </w:rPr>
              <w:t>Defined benefit plans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500 </w:t>
            </w:r>
          </w:p>
        </w:tc>
        <w:tc>
          <w:tcPr>
            <w:tcW w:w="1560" w:type="dxa"/>
          </w:tcPr>
          <w:p w:rsidR="008D196A" w:rsidRPr="008D196A" w:rsidRDefault="008D196A" w:rsidP="00313127">
            <w:pPr>
              <w:pStyle w:val="FinancialsTableText"/>
              <w:jc w:val="right"/>
              <w:rPr>
                <w:lang w:val="en-GB"/>
              </w:rPr>
            </w:pPr>
            <w:r w:rsidRPr="008D196A">
              <w:rPr>
                <w:lang w:val="en-GB"/>
              </w:rPr>
              <w:t xml:space="preserve"> 588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D196A">
            <w:pPr>
              <w:pStyle w:val="FinancialsTableText"/>
              <w:rPr>
                <w:lang w:val="en-GB"/>
              </w:rPr>
            </w:pPr>
            <w:r w:rsidRPr="008D196A">
              <w:rPr>
                <w:lang w:val="en-GB"/>
              </w:rPr>
              <w:t>Leave and other entitlements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1,110 </w:t>
            </w:r>
          </w:p>
        </w:tc>
        <w:tc>
          <w:tcPr>
            <w:tcW w:w="1560" w:type="dxa"/>
          </w:tcPr>
          <w:p w:rsidR="008D196A" w:rsidRPr="008D196A" w:rsidRDefault="008D196A" w:rsidP="00313127">
            <w:pPr>
              <w:pStyle w:val="FinancialsTableText"/>
              <w:jc w:val="right"/>
              <w:rPr>
                <w:lang w:val="en-GB"/>
              </w:rPr>
            </w:pPr>
            <w:r w:rsidRPr="008D196A">
              <w:rPr>
                <w:lang w:val="en-GB"/>
              </w:rPr>
              <w:t xml:space="preserve"> 547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D196A">
            <w:pPr>
              <w:pStyle w:val="FinancialsTableText"/>
              <w:rPr>
                <w:lang w:val="en-GB"/>
              </w:rPr>
            </w:pPr>
            <w:r w:rsidRPr="008D196A">
              <w:rPr>
                <w:lang w:val="en-GB"/>
              </w:rPr>
              <w:t>Separation and redundancies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 </w:t>
            </w:r>
          </w:p>
        </w:tc>
        <w:tc>
          <w:tcPr>
            <w:tcW w:w="1560" w:type="dxa"/>
          </w:tcPr>
          <w:p w:rsidR="008D196A" w:rsidRPr="008D196A" w:rsidRDefault="008D196A" w:rsidP="00313127">
            <w:pPr>
              <w:pStyle w:val="FinancialsTableText"/>
              <w:jc w:val="right"/>
              <w:rPr>
                <w:lang w:val="en-GB"/>
              </w:rPr>
            </w:pPr>
            <w:r w:rsidRPr="008D196A">
              <w:rPr>
                <w:lang w:val="en-GB"/>
              </w:rPr>
              <w:t xml:space="preserve"> 59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D196A">
            <w:pPr>
              <w:pStyle w:val="FinancialsTableText"/>
              <w:rPr>
                <w:b/>
                <w:bCs/>
                <w:lang w:val="en-GB"/>
              </w:rPr>
            </w:pPr>
            <w:r w:rsidRPr="008D196A">
              <w:rPr>
                <w:b/>
                <w:bCs/>
                <w:lang w:val="en-GB"/>
              </w:rPr>
              <w:t>Total employee benefits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7,242 </w:t>
            </w:r>
          </w:p>
        </w:tc>
        <w:tc>
          <w:tcPr>
            <w:tcW w:w="1560" w:type="dxa"/>
          </w:tcPr>
          <w:p w:rsidR="008D196A" w:rsidRPr="008D196A" w:rsidRDefault="008D196A" w:rsidP="00313127">
            <w:pPr>
              <w:pStyle w:val="FinancialsTableText"/>
              <w:jc w:val="right"/>
              <w:rPr>
                <w:lang w:val="en-GB"/>
              </w:rPr>
            </w:pPr>
            <w:r w:rsidRPr="008D196A">
              <w:rPr>
                <w:lang w:val="en-GB"/>
              </w:rPr>
              <w:t xml:space="preserve"> 7,090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8D196A" w:rsidRPr="008D196A" w:rsidTr="00393F00">
        <w:trPr>
          <w:trHeight w:val="60"/>
        </w:trPr>
        <w:tc>
          <w:tcPr>
            <w:tcW w:w="8364" w:type="dxa"/>
            <w:gridSpan w:val="3"/>
          </w:tcPr>
          <w:p w:rsidR="008D196A" w:rsidRPr="008D196A" w:rsidRDefault="008D196A" w:rsidP="005C28B0">
            <w:pPr>
              <w:pStyle w:val="FinancialsTableH1"/>
              <w:rPr>
                <w:lang w:val="en-GB"/>
              </w:rPr>
            </w:pPr>
            <w:r w:rsidRPr="008D196A">
              <w:rPr>
                <w:lang w:val="en-GB"/>
              </w:rPr>
              <w:t>Note 3B: Suppliers</w:t>
            </w:r>
          </w:p>
        </w:tc>
        <w:tc>
          <w:tcPr>
            <w:tcW w:w="1477" w:type="dxa"/>
            <w:shd w:val="clear" w:color="auto" w:fill="E6E7E9"/>
          </w:tcPr>
          <w:p w:rsidR="008D196A" w:rsidRPr="008D196A" w:rsidRDefault="008D196A" w:rsidP="008D196A">
            <w:pPr>
              <w:pStyle w:val="FinancialsTableText"/>
            </w:pPr>
          </w:p>
        </w:tc>
      </w:tr>
      <w:tr w:rsidR="008D196A" w:rsidRPr="008D196A" w:rsidTr="00393F00">
        <w:trPr>
          <w:trHeight w:val="60"/>
        </w:trPr>
        <w:tc>
          <w:tcPr>
            <w:tcW w:w="8364" w:type="dxa"/>
            <w:gridSpan w:val="3"/>
          </w:tcPr>
          <w:p w:rsidR="008D196A" w:rsidRPr="008D196A" w:rsidRDefault="008D196A" w:rsidP="00882093">
            <w:pPr>
              <w:pStyle w:val="FinancialsTableH2"/>
              <w:rPr>
                <w:lang w:val="en-GB"/>
              </w:rPr>
            </w:pPr>
            <w:r w:rsidRPr="008D196A">
              <w:rPr>
                <w:lang w:val="en-GB"/>
              </w:rPr>
              <w:t>Goods and services supplied or rendered</w:t>
            </w:r>
          </w:p>
        </w:tc>
        <w:tc>
          <w:tcPr>
            <w:tcW w:w="1477" w:type="dxa"/>
            <w:shd w:val="clear" w:color="auto" w:fill="E6E7E9"/>
          </w:tcPr>
          <w:p w:rsidR="008D196A" w:rsidRPr="008D196A" w:rsidRDefault="008D196A" w:rsidP="008D196A">
            <w:pPr>
              <w:pStyle w:val="FinancialsTableText"/>
            </w:pP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Contractors and consultants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13,441 </w:t>
            </w:r>
          </w:p>
        </w:tc>
        <w:tc>
          <w:tcPr>
            <w:tcW w:w="1560" w:type="dxa"/>
          </w:tcPr>
          <w:p w:rsidR="008D196A" w:rsidRPr="008D196A" w:rsidRDefault="008D196A" w:rsidP="00313127">
            <w:pPr>
              <w:pStyle w:val="FinancialsTableText"/>
              <w:jc w:val="right"/>
              <w:rPr>
                <w:lang w:val="en-GB"/>
              </w:rPr>
            </w:pPr>
            <w:r w:rsidRPr="008D196A">
              <w:rPr>
                <w:lang w:val="en-GB"/>
              </w:rPr>
              <w:t xml:space="preserve"> 423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9,602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Recruitment and relocation costs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104 </w:t>
            </w:r>
          </w:p>
        </w:tc>
        <w:tc>
          <w:tcPr>
            <w:tcW w:w="1560" w:type="dxa"/>
          </w:tcPr>
          <w:p w:rsidR="008D196A" w:rsidRPr="008D196A" w:rsidRDefault="008D196A" w:rsidP="00313127">
            <w:pPr>
              <w:pStyle w:val="FinancialsTableText"/>
              <w:jc w:val="right"/>
              <w:rPr>
                <w:lang w:val="en-GB"/>
              </w:rPr>
            </w:pPr>
            <w:r w:rsidRPr="008D196A">
              <w:rPr>
                <w:lang w:val="en-GB"/>
              </w:rPr>
              <w:t xml:space="preserve"> 72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 xml:space="preserve">Travel and training costs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529 </w:t>
            </w:r>
          </w:p>
        </w:tc>
        <w:tc>
          <w:tcPr>
            <w:tcW w:w="1560" w:type="dxa"/>
          </w:tcPr>
          <w:p w:rsidR="008D196A" w:rsidRPr="008D196A" w:rsidRDefault="008D196A" w:rsidP="00313127">
            <w:pPr>
              <w:pStyle w:val="FinancialsTableText"/>
              <w:jc w:val="right"/>
              <w:rPr>
                <w:lang w:val="en-GB"/>
              </w:rPr>
            </w:pPr>
            <w:r w:rsidRPr="008D196A">
              <w:rPr>
                <w:lang w:val="en-GB"/>
              </w:rPr>
              <w:t xml:space="preserve"> 537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25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IT services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622 </w:t>
            </w:r>
          </w:p>
        </w:tc>
        <w:tc>
          <w:tcPr>
            <w:tcW w:w="1560" w:type="dxa"/>
          </w:tcPr>
          <w:p w:rsidR="008D196A" w:rsidRPr="008D196A" w:rsidRDefault="008D196A" w:rsidP="00313127">
            <w:pPr>
              <w:pStyle w:val="FinancialsTableText"/>
              <w:jc w:val="right"/>
              <w:rPr>
                <w:lang w:val="en-GB"/>
              </w:rPr>
            </w:pPr>
            <w:r w:rsidRPr="008D196A">
              <w:rPr>
                <w:lang w:val="en-GB"/>
              </w:rPr>
              <w:t xml:space="preserve"> 593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Publishing materials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300 </w:t>
            </w:r>
          </w:p>
        </w:tc>
        <w:tc>
          <w:tcPr>
            <w:tcW w:w="1560" w:type="dxa"/>
          </w:tcPr>
          <w:p w:rsidR="008D196A" w:rsidRPr="008D196A" w:rsidRDefault="008D196A" w:rsidP="00313127">
            <w:pPr>
              <w:pStyle w:val="FinancialsTableText"/>
              <w:jc w:val="right"/>
              <w:rPr>
                <w:lang w:val="en-GB"/>
              </w:rPr>
            </w:pPr>
            <w:r w:rsidRPr="008D196A">
              <w:rPr>
                <w:lang w:val="en-GB"/>
              </w:rPr>
              <w:t xml:space="preserve"> –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 xml:space="preserve">Legal expenses and audit fees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247 </w:t>
            </w:r>
          </w:p>
        </w:tc>
        <w:tc>
          <w:tcPr>
            <w:tcW w:w="1560" w:type="dxa"/>
          </w:tcPr>
          <w:p w:rsidR="008D196A" w:rsidRPr="008D196A" w:rsidRDefault="008D196A" w:rsidP="00313127">
            <w:pPr>
              <w:pStyle w:val="FinancialsTableText"/>
              <w:jc w:val="right"/>
              <w:rPr>
                <w:lang w:val="en-GB"/>
              </w:rPr>
            </w:pPr>
            <w:r w:rsidRPr="008D196A">
              <w:rPr>
                <w:lang w:val="en-GB"/>
              </w:rPr>
              <w:t xml:space="preserve"> 238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Other</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678 </w:t>
            </w:r>
          </w:p>
        </w:tc>
        <w:tc>
          <w:tcPr>
            <w:tcW w:w="1560" w:type="dxa"/>
          </w:tcPr>
          <w:p w:rsidR="008D196A" w:rsidRPr="008D196A" w:rsidRDefault="008D196A" w:rsidP="00313127">
            <w:pPr>
              <w:pStyle w:val="FinancialsTableText"/>
              <w:jc w:val="right"/>
              <w:rPr>
                <w:lang w:val="en-GB"/>
              </w:rPr>
            </w:pPr>
            <w:r w:rsidRPr="008D196A">
              <w:rPr>
                <w:lang w:val="en-GB"/>
              </w:rPr>
              <w:t xml:space="preserve"> 404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235 </w:t>
            </w:r>
          </w:p>
        </w:tc>
      </w:tr>
      <w:tr w:rsidR="009427A1" w:rsidRPr="008D196A" w:rsidTr="00393F00">
        <w:trPr>
          <w:trHeight w:val="60"/>
        </w:trPr>
        <w:tc>
          <w:tcPr>
            <w:tcW w:w="5670" w:type="dxa"/>
          </w:tcPr>
          <w:p w:rsidR="008D196A" w:rsidRPr="008D196A" w:rsidRDefault="008D196A" w:rsidP="008D196A">
            <w:pPr>
              <w:pStyle w:val="FinancialsTableText"/>
              <w:rPr>
                <w:b/>
                <w:bCs/>
                <w:lang w:val="en-GB"/>
              </w:rPr>
            </w:pPr>
            <w:r w:rsidRPr="008D196A">
              <w:rPr>
                <w:b/>
                <w:bCs/>
                <w:lang w:val="en-GB"/>
              </w:rPr>
              <w:t>Total goods and services supplied or rendered</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15,921 </w:t>
            </w:r>
          </w:p>
        </w:tc>
        <w:tc>
          <w:tcPr>
            <w:tcW w:w="1560" w:type="dxa"/>
          </w:tcPr>
          <w:p w:rsidR="008D196A" w:rsidRPr="008D196A" w:rsidRDefault="008D196A" w:rsidP="00313127">
            <w:pPr>
              <w:pStyle w:val="FinancialsTableText"/>
              <w:jc w:val="right"/>
              <w:rPr>
                <w:lang w:val="en-GB"/>
              </w:rPr>
            </w:pPr>
            <w:r w:rsidRPr="008D196A">
              <w:rPr>
                <w:lang w:val="en-GB"/>
              </w:rPr>
              <w:t xml:space="preserve"> 2,267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9,862 </w:t>
            </w:r>
          </w:p>
        </w:tc>
      </w:tr>
      <w:tr w:rsidR="008D196A" w:rsidRPr="008D196A" w:rsidTr="00393F00">
        <w:trPr>
          <w:trHeight w:val="60"/>
        </w:trPr>
        <w:tc>
          <w:tcPr>
            <w:tcW w:w="8364" w:type="dxa"/>
            <w:gridSpan w:val="3"/>
          </w:tcPr>
          <w:p w:rsidR="008D196A" w:rsidRPr="008D196A" w:rsidRDefault="008D196A" w:rsidP="00882093">
            <w:pPr>
              <w:pStyle w:val="FinancialsTableH2"/>
              <w:rPr>
                <w:lang w:val="en-GB"/>
              </w:rPr>
            </w:pPr>
            <w:r w:rsidRPr="008D196A">
              <w:rPr>
                <w:lang w:val="en-GB"/>
              </w:rPr>
              <w:t>Goods supplied in connection with</w:t>
            </w:r>
          </w:p>
        </w:tc>
        <w:tc>
          <w:tcPr>
            <w:tcW w:w="1477" w:type="dxa"/>
            <w:shd w:val="clear" w:color="auto" w:fill="E6E7E9"/>
          </w:tcPr>
          <w:p w:rsidR="008D196A" w:rsidRPr="008D196A" w:rsidRDefault="008D196A" w:rsidP="008D196A">
            <w:pPr>
              <w:pStyle w:val="FinancialsTableText"/>
            </w:pP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 xml:space="preserve">Related parties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 </w:t>
            </w:r>
          </w:p>
        </w:tc>
        <w:tc>
          <w:tcPr>
            <w:tcW w:w="1560" w:type="dxa"/>
          </w:tcPr>
          <w:p w:rsidR="008D196A" w:rsidRPr="008D196A" w:rsidRDefault="008D196A" w:rsidP="00313127">
            <w:pPr>
              <w:pStyle w:val="FinancialsTableText"/>
              <w:jc w:val="right"/>
              <w:rPr>
                <w:lang w:val="en-GB"/>
              </w:rPr>
            </w:pPr>
            <w:r w:rsidRPr="008D196A">
              <w:rPr>
                <w:lang w:val="en-GB"/>
              </w:rPr>
              <w:t xml:space="preserve"> 3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External parties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1,107 </w:t>
            </w:r>
          </w:p>
        </w:tc>
        <w:tc>
          <w:tcPr>
            <w:tcW w:w="1560" w:type="dxa"/>
          </w:tcPr>
          <w:p w:rsidR="008D196A" w:rsidRPr="008D196A" w:rsidRDefault="008D196A" w:rsidP="00313127">
            <w:pPr>
              <w:pStyle w:val="FinancialsTableText"/>
              <w:jc w:val="right"/>
              <w:rPr>
                <w:lang w:val="en-GB"/>
              </w:rPr>
            </w:pPr>
            <w:r w:rsidRPr="008D196A">
              <w:rPr>
                <w:lang w:val="en-GB"/>
              </w:rPr>
              <w:t xml:space="preserve"> 130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1 </w:t>
            </w:r>
          </w:p>
        </w:tc>
      </w:tr>
      <w:tr w:rsidR="009427A1" w:rsidRPr="008D196A" w:rsidTr="00393F00">
        <w:trPr>
          <w:trHeight w:val="60"/>
        </w:trPr>
        <w:tc>
          <w:tcPr>
            <w:tcW w:w="5670" w:type="dxa"/>
          </w:tcPr>
          <w:p w:rsidR="008D196A" w:rsidRPr="008D196A" w:rsidRDefault="008D196A" w:rsidP="008D196A">
            <w:pPr>
              <w:pStyle w:val="FinancialsTableText"/>
              <w:rPr>
                <w:b/>
                <w:bCs/>
                <w:lang w:val="en-GB"/>
              </w:rPr>
            </w:pPr>
            <w:r w:rsidRPr="008D196A">
              <w:rPr>
                <w:b/>
                <w:bCs/>
                <w:lang w:val="en-GB"/>
              </w:rPr>
              <w:t>Total goods supplied</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1,107 </w:t>
            </w:r>
          </w:p>
        </w:tc>
        <w:tc>
          <w:tcPr>
            <w:tcW w:w="1560" w:type="dxa"/>
          </w:tcPr>
          <w:p w:rsidR="008D196A" w:rsidRPr="008D196A" w:rsidRDefault="008D196A" w:rsidP="00313127">
            <w:pPr>
              <w:pStyle w:val="FinancialsTableText"/>
              <w:jc w:val="right"/>
              <w:rPr>
                <w:lang w:val="en-GB"/>
              </w:rPr>
            </w:pPr>
            <w:r w:rsidRPr="008D196A">
              <w:rPr>
                <w:lang w:val="en-GB"/>
              </w:rPr>
              <w:t xml:space="preserve"> 133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1 </w:t>
            </w:r>
          </w:p>
        </w:tc>
      </w:tr>
      <w:tr w:rsidR="008D196A" w:rsidRPr="008D196A" w:rsidTr="00393F00">
        <w:trPr>
          <w:trHeight w:val="60"/>
        </w:trPr>
        <w:tc>
          <w:tcPr>
            <w:tcW w:w="8364" w:type="dxa"/>
            <w:gridSpan w:val="3"/>
          </w:tcPr>
          <w:p w:rsidR="008D196A" w:rsidRPr="008D196A" w:rsidRDefault="008D196A" w:rsidP="00882093">
            <w:pPr>
              <w:pStyle w:val="FinancialsTableH2"/>
              <w:rPr>
                <w:lang w:val="en-GB"/>
              </w:rPr>
            </w:pPr>
            <w:r w:rsidRPr="008D196A">
              <w:rPr>
                <w:lang w:val="en-GB"/>
              </w:rPr>
              <w:t>Services rendered in connection with</w:t>
            </w:r>
          </w:p>
        </w:tc>
        <w:tc>
          <w:tcPr>
            <w:tcW w:w="1477" w:type="dxa"/>
            <w:shd w:val="clear" w:color="auto" w:fill="E6E7E9"/>
          </w:tcPr>
          <w:p w:rsidR="008D196A" w:rsidRPr="008D196A" w:rsidRDefault="008D196A" w:rsidP="008D196A">
            <w:pPr>
              <w:pStyle w:val="FinancialsTableText"/>
            </w:pP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 xml:space="preserve">Related parties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468 </w:t>
            </w:r>
          </w:p>
        </w:tc>
        <w:tc>
          <w:tcPr>
            <w:tcW w:w="1560" w:type="dxa"/>
          </w:tcPr>
          <w:p w:rsidR="008D196A" w:rsidRPr="008D196A" w:rsidRDefault="008D196A" w:rsidP="00313127">
            <w:pPr>
              <w:pStyle w:val="FinancialsTableText"/>
              <w:jc w:val="right"/>
              <w:rPr>
                <w:lang w:val="en-GB"/>
              </w:rPr>
            </w:pPr>
            <w:r w:rsidRPr="008D196A">
              <w:rPr>
                <w:lang w:val="en-GB"/>
              </w:rPr>
              <w:t xml:space="preserve"> 264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1,451 </w:t>
            </w:r>
          </w:p>
        </w:tc>
      </w:tr>
      <w:tr w:rsidR="009427A1" w:rsidRPr="008D196A" w:rsidTr="00393F00">
        <w:trPr>
          <w:trHeight w:val="60"/>
        </w:trPr>
        <w:tc>
          <w:tcPr>
            <w:tcW w:w="5670" w:type="dxa"/>
          </w:tcPr>
          <w:p w:rsidR="008D196A" w:rsidRPr="008D196A" w:rsidRDefault="008D196A" w:rsidP="00882093">
            <w:pPr>
              <w:pStyle w:val="FinancialsTableTextIndented"/>
              <w:rPr>
                <w:lang w:val="en-GB"/>
              </w:rPr>
            </w:pPr>
            <w:r w:rsidRPr="008D196A">
              <w:rPr>
                <w:lang w:val="en-GB"/>
              </w:rPr>
              <w:t>External parties</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14,346 </w:t>
            </w:r>
          </w:p>
        </w:tc>
        <w:tc>
          <w:tcPr>
            <w:tcW w:w="1560" w:type="dxa"/>
          </w:tcPr>
          <w:p w:rsidR="008D196A" w:rsidRPr="008D196A" w:rsidRDefault="008D196A" w:rsidP="00313127">
            <w:pPr>
              <w:pStyle w:val="FinancialsTableText"/>
              <w:jc w:val="right"/>
              <w:rPr>
                <w:lang w:val="en-GB"/>
              </w:rPr>
            </w:pPr>
            <w:r w:rsidRPr="008D196A">
              <w:rPr>
                <w:lang w:val="en-GB"/>
              </w:rPr>
              <w:t xml:space="preserve"> 1,870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8,410 </w:t>
            </w:r>
          </w:p>
        </w:tc>
      </w:tr>
      <w:tr w:rsidR="009427A1" w:rsidRPr="008D196A" w:rsidTr="00393F00">
        <w:trPr>
          <w:trHeight w:val="60"/>
        </w:trPr>
        <w:tc>
          <w:tcPr>
            <w:tcW w:w="5670" w:type="dxa"/>
          </w:tcPr>
          <w:p w:rsidR="008D196A" w:rsidRPr="008D196A" w:rsidRDefault="008D196A" w:rsidP="008D196A">
            <w:pPr>
              <w:pStyle w:val="FinancialsTableText"/>
              <w:rPr>
                <w:b/>
                <w:bCs/>
                <w:lang w:val="en-GB"/>
              </w:rPr>
            </w:pPr>
            <w:r w:rsidRPr="008D196A">
              <w:rPr>
                <w:b/>
                <w:bCs/>
                <w:lang w:val="en-GB"/>
              </w:rPr>
              <w:t xml:space="preserve">Total services rendered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14,814 </w:t>
            </w:r>
          </w:p>
        </w:tc>
        <w:tc>
          <w:tcPr>
            <w:tcW w:w="1560" w:type="dxa"/>
          </w:tcPr>
          <w:p w:rsidR="008D196A" w:rsidRPr="008D196A" w:rsidRDefault="008D196A" w:rsidP="00313127">
            <w:pPr>
              <w:pStyle w:val="FinancialsTableText"/>
              <w:jc w:val="right"/>
              <w:rPr>
                <w:lang w:val="en-GB"/>
              </w:rPr>
            </w:pPr>
            <w:r w:rsidRPr="008D196A">
              <w:rPr>
                <w:lang w:val="en-GB"/>
              </w:rPr>
              <w:t xml:space="preserve"> 2,134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9,861 </w:t>
            </w:r>
          </w:p>
        </w:tc>
      </w:tr>
      <w:tr w:rsidR="009427A1" w:rsidRPr="008D196A" w:rsidTr="00393F00">
        <w:trPr>
          <w:trHeight w:val="60"/>
        </w:trPr>
        <w:tc>
          <w:tcPr>
            <w:tcW w:w="5670" w:type="dxa"/>
          </w:tcPr>
          <w:p w:rsidR="008D196A" w:rsidRPr="008D196A" w:rsidRDefault="008D196A" w:rsidP="008D196A">
            <w:pPr>
              <w:pStyle w:val="FinancialsTableText"/>
              <w:rPr>
                <w:b/>
                <w:bCs/>
                <w:lang w:val="en-GB"/>
              </w:rPr>
            </w:pPr>
            <w:r w:rsidRPr="008D196A">
              <w:rPr>
                <w:b/>
                <w:bCs/>
                <w:lang w:val="en-GB"/>
              </w:rPr>
              <w:t xml:space="preserve">Total goods and services supplied and rendered </w:t>
            </w:r>
          </w:p>
        </w:tc>
        <w:tc>
          <w:tcPr>
            <w:tcW w:w="1134" w:type="dxa"/>
          </w:tcPr>
          <w:p w:rsidR="008D196A" w:rsidRPr="008D196A" w:rsidRDefault="008D196A" w:rsidP="00313127">
            <w:pPr>
              <w:pStyle w:val="FinancialsTableText"/>
              <w:jc w:val="right"/>
              <w:rPr>
                <w:b/>
                <w:bCs/>
                <w:lang w:val="en-GB"/>
              </w:rPr>
            </w:pPr>
            <w:r w:rsidRPr="008D196A">
              <w:rPr>
                <w:b/>
                <w:bCs/>
                <w:lang w:val="en-GB"/>
              </w:rPr>
              <w:t xml:space="preserve"> 15,921 </w:t>
            </w:r>
          </w:p>
        </w:tc>
        <w:tc>
          <w:tcPr>
            <w:tcW w:w="1560" w:type="dxa"/>
          </w:tcPr>
          <w:p w:rsidR="008D196A" w:rsidRPr="008D196A" w:rsidRDefault="008D196A" w:rsidP="00313127">
            <w:pPr>
              <w:pStyle w:val="FinancialsTableText"/>
              <w:jc w:val="right"/>
              <w:rPr>
                <w:lang w:val="en-GB"/>
              </w:rPr>
            </w:pPr>
            <w:r w:rsidRPr="008D196A">
              <w:rPr>
                <w:lang w:val="en-GB"/>
              </w:rPr>
              <w:t xml:space="preserve"> 2,267 </w:t>
            </w:r>
          </w:p>
        </w:tc>
        <w:tc>
          <w:tcPr>
            <w:tcW w:w="1477" w:type="dxa"/>
            <w:shd w:val="clear" w:color="auto" w:fill="E6E7E9"/>
          </w:tcPr>
          <w:p w:rsidR="008D196A" w:rsidRPr="008D196A" w:rsidRDefault="008D196A" w:rsidP="00313127">
            <w:pPr>
              <w:pStyle w:val="FinancialsTableText"/>
              <w:jc w:val="right"/>
              <w:rPr>
                <w:lang w:val="en-GB"/>
              </w:rPr>
            </w:pPr>
            <w:r w:rsidRPr="008D196A">
              <w:rPr>
                <w:lang w:val="en-GB"/>
              </w:rPr>
              <w:t xml:space="preserve"> 9,862 </w:t>
            </w:r>
          </w:p>
        </w:tc>
      </w:tr>
      <w:tr w:rsidR="00393F00" w:rsidTr="00393F00">
        <w:trPr>
          <w:trHeight w:val="60"/>
        </w:trPr>
        <w:tc>
          <w:tcPr>
            <w:tcW w:w="8364" w:type="dxa"/>
            <w:gridSpan w:val="3"/>
          </w:tcPr>
          <w:p w:rsidR="008D196A" w:rsidRDefault="008D196A" w:rsidP="00882093">
            <w:pPr>
              <w:pStyle w:val="FinancialsTableH2"/>
            </w:pPr>
            <w:r>
              <w:t>Other suppliers expenses</w:t>
            </w:r>
          </w:p>
        </w:tc>
        <w:tc>
          <w:tcPr>
            <w:tcW w:w="1477" w:type="dxa"/>
            <w:shd w:val="clear" w:color="auto" w:fill="E6E7E9"/>
          </w:tcPr>
          <w:p w:rsidR="008D196A" w:rsidRDefault="008D196A" w:rsidP="008D196A">
            <w:pPr>
              <w:pStyle w:val="FinancialsTableText"/>
            </w:pPr>
          </w:p>
        </w:tc>
      </w:tr>
      <w:tr w:rsidR="00393F00" w:rsidTr="00393F00">
        <w:trPr>
          <w:trHeight w:val="286"/>
        </w:trPr>
        <w:tc>
          <w:tcPr>
            <w:tcW w:w="8364" w:type="dxa"/>
            <w:gridSpan w:val="3"/>
          </w:tcPr>
          <w:p w:rsidR="008D196A" w:rsidRDefault="008D196A" w:rsidP="008D196A">
            <w:pPr>
              <w:pStyle w:val="FinancialsTableText"/>
            </w:pPr>
            <w:r>
              <w:t>Operating lease rentals in connection with external parties:</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8D196A" w:rsidP="00882093">
            <w:pPr>
              <w:pStyle w:val="FinancialsTableTextIndented"/>
            </w:pPr>
            <w:r>
              <w:t>Minimum lease payments</w:t>
            </w:r>
          </w:p>
        </w:tc>
        <w:tc>
          <w:tcPr>
            <w:tcW w:w="1134" w:type="dxa"/>
          </w:tcPr>
          <w:p w:rsidR="008D196A" w:rsidRPr="005C28B0" w:rsidRDefault="008D196A" w:rsidP="00313127">
            <w:pPr>
              <w:pStyle w:val="FinancialsTableText"/>
              <w:jc w:val="right"/>
              <w:rPr>
                <w:b/>
              </w:rPr>
            </w:pPr>
            <w:r w:rsidRPr="005C28B0">
              <w:rPr>
                <w:b/>
              </w:rPr>
              <w:t xml:space="preserve"> 434 </w:t>
            </w:r>
          </w:p>
        </w:tc>
        <w:tc>
          <w:tcPr>
            <w:tcW w:w="1560" w:type="dxa"/>
          </w:tcPr>
          <w:p w:rsidR="008D196A" w:rsidRDefault="008D196A" w:rsidP="00313127">
            <w:pPr>
              <w:pStyle w:val="FinancialsTableText"/>
              <w:jc w:val="right"/>
            </w:pPr>
            <w:r>
              <w:t xml:space="preserve"> 445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Default="008D196A" w:rsidP="008D196A">
            <w:pPr>
              <w:pStyle w:val="FinancialsTableText"/>
            </w:pPr>
            <w:r>
              <w:t>Workers compensation expenses</w:t>
            </w:r>
          </w:p>
        </w:tc>
        <w:tc>
          <w:tcPr>
            <w:tcW w:w="1134" w:type="dxa"/>
          </w:tcPr>
          <w:p w:rsidR="008D196A" w:rsidRPr="005C28B0" w:rsidRDefault="008D196A" w:rsidP="00313127">
            <w:pPr>
              <w:pStyle w:val="FinancialsTableText"/>
              <w:jc w:val="right"/>
              <w:rPr>
                <w:b/>
              </w:rPr>
            </w:pPr>
            <w:r w:rsidRPr="005C28B0">
              <w:rPr>
                <w:b/>
              </w:rPr>
              <w:t xml:space="preserve"> 68 </w:t>
            </w:r>
          </w:p>
        </w:tc>
        <w:tc>
          <w:tcPr>
            <w:tcW w:w="1560" w:type="dxa"/>
          </w:tcPr>
          <w:p w:rsidR="008D196A" w:rsidRDefault="008D196A" w:rsidP="00313127">
            <w:pPr>
              <w:pStyle w:val="FinancialsTableText"/>
              <w:jc w:val="right"/>
            </w:pPr>
            <w:r>
              <w:t xml:space="preserve"> 66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Total other suppliers expenses</w:t>
            </w:r>
          </w:p>
        </w:tc>
        <w:tc>
          <w:tcPr>
            <w:tcW w:w="1134" w:type="dxa"/>
          </w:tcPr>
          <w:p w:rsidR="008D196A" w:rsidRPr="005C28B0" w:rsidRDefault="008D196A" w:rsidP="00313127">
            <w:pPr>
              <w:pStyle w:val="FinancialsTableText"/>
              <w:jc w:val="right"/>
              <w:rPr>
                <w:b/>
              </w:rPr>
            </w:pPr>
            <w:r w:rsidRPr="005C28B0">
              <w:rPr>
                <w:b/>
              </w:rPr>
              <w:t xml:space="preserve"> 502 </w:t>
            </w:r>
          </w:p>
        </w:tc>
        <w:tc>
          <w:tcPr>
            <w:tcW w:w="1560" w:type="dxa"/>
          </w:tcPr>
          <w:p w:rsidR="008D196A" w:rsidRDefault="008D196A" w:rsidP="00313127">
            <w:pPr>
              <w:pStyle w:val="FinancialsTableText"/>
              <w:jc w:val="right"/>
            </w:pPr>
            <w:r>
              <w:t xml:space="preserve"> 511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 xml:space="preserve">Total suppliers expenses </w:t>
            </w:r>
          </w:p>
        </w:tc>
        <w:tc>
          <w:tcPr>
            <w:tcW w:w="1134" w:type="dxa"/>
          </w:tcPr>
          <w:p w:rsidR="008D196A" w:rsidRPr="005C28B0" w:rsidRDefault="008D196A" w:rsidP="00313127">
            <w:pPr>
              <w:pStyle w:val="FinancialsTableText"/>
              <w:jc w:val="right"/>
              <w:rPr>
                <w:b/>
              </w:rPr>
            </w:pPr>
            <w:r w:rsidRPr="005C28B0">
              <w:rPr>
                <w:b/>
              </w:rPr>
              <w:t xml:space="preserve"> 16,423 </w:t>
            </w:r>
          </w:p>
        </w:tc>
        <w:tc>
          <w:tcPr>
            <w:tcW w:w="1560" w:type="dxa"/>
          </w:tcPr>
          <w:p w:rsidR="008D196A" w:rsidRDefault="008D196A" w:rsidP="00313127">
            <w:pPr>
              <w:pStyle w:val="FinancialsTableText"/>
              <w:jc w:val="right"/>
            </w:pPr>
            <w:r>
              <w:t xml:space="preserve"> 2,778 </w:t>
            </w:r>
          </w:p>
        </w:tc>
        <w:tc>
          <w:tcPr>
            <w:tcW w:w="1477" w:type="dxa"/>
            <w:shd w:val="clear" w:color="auto" w:fill="E6E7E9"/>
          </w:tcPr>
          <w:p w:rsidR="008D196A" w:rsidRDefault="008D196A" w:rsidP="00313127">
            <w:pPr>
              <w:pStyle w:val="FinancialsTableText"/>
              <w:jc w:val="right"/>
            </w:pPr>
            <w:r>
              <w:t xml:space="preserve"> – </w:t>
            </w:r>
          </w:p>
        </w:tc>
      </w:tr>
      <w:tr w:rsidR="00393F00" w:rsidTr="00393F00">
        <w:trPr>
          <w:trHeight w:val="60"/>
        </w:trPr>
        <w:tc>
          <w:tcPr>
            <w:tcW w:w="8364" w:type="dxa"/>
            <w:gridSpan w:val="3"/>
          </w:tcPr>
          <w:p w:rsidR="008D196A" w:rsidRPr="00882093" w:rsidRDefault="008D196A" w:rsidP="00882093">
            <w:pPr>
              <w:pStyle w:val="FinancialsTableH1"/>
            </w:pPr>
            <w:r w:rsidRPr="00882093">
              <w:t>Note 3C: Depreciation and amortisation</w:t>
            </w:r>
          </w:p>
        </w:tc>
        <w:tc>
          <w:tcPr>
            <w:tcW w:w="1477" w:type="dxa"/>
            <w:shd w:val="clear" w:color="auto" w:fill="E6E7E9"/>
          </w:tcPr>
          <w:p w:rsidR="008D196A" w:rsidRDefault="008D196A" w:rsidP="008D196A">
            <w:pPr>
              <w:pStyle w:val="FinancialsTableText"/>
            </w:pPr>
          </w:p>
        </w:tc>
      </w:tr>
      <w:tr w:rsidR="00393F00" w:rsidTr="00393F00">
        <w:trPr>
          <w:trHeight w:val="60"/>
        </w:trPr>
        <w:tc>
          <w:tcPr>
            <w:tcW w:w="8364" w:type="dxa"/>
            <w:gridSpan w:val="3"/>
          </w:tcPr>
          <w:p w:rsidR="008D196A" w:rsidRDefault="008D196A" w:rsidP="00882093">
            <w:pPr>
              <w:pStyle w:val="FinancialsTableH2"/>
            </w:pPr>
            <w:r>
              <w:t>Depreciation</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8D196A" w:rsidP="00882093">
            <w:pPr>
              <w:pStyle w:val="FinancialsTableTextIndented"/>
            </w:pPr>
            <w:r>
              <w:t>Property, plant and equipment</w:t>
            </w:r>
          </w:p>
        </w:tc>
        <w:tc>
          <w:tcPr>
            <w:tcW w:w="1134" w:type="dxa"/>
          </w:tcPr>
          <w:p w:rsidR="008D196A" w:rsidRPr="005C28B0" w:rsidRDefault="008D196A" w:rsidP="00313127">
            <w:pPr>
              <w:pStyle w:val="FinancialsTableText"/>
              <w:jc w:val="right"/>
              <w:rPr>
                <w:b/>
              </w:rPr>
            </w:pPr>
            <w:r w:rsidRPr="005C28B0">
              <w:rPr>
                <w:b/>
              </w:rPr>
              <w:t xml:space="preserve"> 90 </w:t>
            </w:r>
          </w:p>
        </w:tc>
        <w:tc>
          <w:tcPr>
            <w:tcW w:w="1560" w:type="dxa"/>
          </w:tcPr>
          <w:p w:rsidR="008D196A" w:rsidRDefault="008D196A" w:rsidP="00313127">
            <w:pPr>
              <w:pStyle w:val="FinancialsTableText"/>
              <w:jc w:val="right"/>
            </w:pPr>
            <w:r>
              <w:t xml:space="preserve"> 101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Default="008D196A" w:rsidP="00882093">
            <w:pPr>
              <w:pStyle w:val="FinancialsTableTextIndented"/>
            </w:pPr>
            <w:r>
              <w:t>Leasehold improvements</w:t>
            </w:r>
          </w:p>
        </w:tc>
        <w:tc>
          <w:tcPr>
            <w:tcW w:w="1134" w:type="dxa"/>
          </w:tcPr>
          <w:p w:rsidR="008D196A" w:rsidRPr="005C28B0" w:rsidRDefault="008D196A" w:rsidP="00313127">
            <w:pPr>
              <w:pStyle w:val="FinancialsTableText"/>
              <w:jc w:val="right"/>
              <w:rPr>
                <w:b/>
              </w:rPr>
            </w:pPr>
            <w:r w:rsidRPr="005C28B0">
              <w:rPr>
                <w:b/>
              </w:rPr>
              <w:t xml:space="preserve"> 200 </w:t>
            </w:r>
          </w:p>
        </w:tc>
        <w:tc>
          <w:tcPr>
            <w:tcW w:w="1560" w:type="dxa"/>
          </w:tcPr>
          <w:p w:rsidR="008D196A" w:rsidRDefault="008D196A" w:rsidP="00313127">
            <w:pPr>
              <w:pStyle w:val="FinancialsTableText"/>
              <w:jc w:val="right"/>
            </w:pPr>
            <w:r>
              <w:t xml:space="preserve"> 189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 xml:space="preserve">Total depreciation </w:t>
            </w:r>
          </w:p>
        </w:tc>
        <w:tc>
          <w:tcPr>
            <w:tcW w:w="1134" w:type="dxa"/>
          </w:tcPr>
          <w:p w:rsidR="008D196A" w:rsidRPr="005C28B0" w:rsidRDefault="008D196A" w:rsidP="00313127">
            <w:pPr>
              <w:pStyle w:val="FinancialsTableText"/>
              <w:jc w:val="right"/>
              <w:rPr>
                <w:b/>
              </w:rPr>
            </w:pPr>
            <w:r w:rsidRPr="005C28B0">
              <w:rPr>
                <w:b/>
              </w:rPr>
              <w:t xml:space="preserve"> 290 </w:t>
            </w:r>
          </w:p>
        </w:tc>
        <w:tc>
          <w:tcPr>
            <w:tcW w:w="1560" w:type="dxa"/>
          </w:tcPr>
          <w:p w:rsidR="008D196A" w:rsidRDefault="008D196A" w:rsidP="00313127">
            <w:pPr>
              <w:pStyle w:val="FinancialsTableText"/>
              <w:jc w:val="right"/>
            </w:pPr>
            <w:r>
              <w:t xml:space="preserve"> 290 </w:t>
            </w:r>
          </w:p>
        </w:tc>
        <w:tc>
          <w:tcPr>
            <w:tcW w:w="1477" w:type="dxa"/>
            <w:shd w:val="clear" w:color="auto" w:fill="E6E7E9"/>
          </w:tcPr>
          <w:p w:rsidR="008D196A" w:rsidRDefault="008D196A" w:rsidP="00313127">
            <w:pPr>
              <w:pStyle w:val="FinancialsTableText"/>
              <w:jc w:val="right"/>
            </w:pPr>
            <w:r>
              <w:t xml:space="preserve"> – </w:t>
            </w:r>
          </w:p>
        </w:tc>
      </w:tr>
      <w:tr w:rsidR="00393F00" w:rsidTr="00393F00">
        <w:trPr>
          <w:trHeight w:val="60"/>
        </w:trPr>
        <w:tc>
          <w:tcPr>
            <w:tcW w:w="8364" w:type="dxa"/>
            <w:gridSpan w:val="3"/>
          </w:tcPr>
          <w:p w:rsidR="008D196A" w:rsidRDefault="008D196A" w:rsidP="00882093">
            <w:pPr>
              <w:pStyle w:val="FinancialsTableH2"/>
            </w:pPr>
            <w:r>
              <w:lastRenderedPageBreak/>
              <w:t>Amortisation</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8D196A" w:rsidP="00882093">
            <w:pPr>
              <w:pStyle w:val="FinancialsTableTextIndented"/>
            </w:pPr>
            <w:r>
              <w:t xml:space="preserve">Intangibles </w:t>
            </w:r>
          </w:p>
        </w:tc>
        <w:tc>
          <w:tcPr>
            <w:tcW w:w="1134" w:type="dxa"/>
          </w:tcPr>
          <w:p w:rsidR="008D196A" w:rsidRPr="005C28B0" w:rsidRDefault="008D196A" w:rsidP="00313127">
            <w:pPr>
              <w:pStyle w:val="FinancialsTableText"/>
              <w:jc w:val="right"/>
              <w:rPr>
                <w:b/>
              </w:rPr>
            </w:pPr>
            <w:r w:rsidRPr="005C28B0">
              <w:rPr>
                <w:b/>
              </w:rPr>
              <w:t xml:space="preserve"> 277 </w:t>
            </w:r>
          </w:p>
        </w:tc>
        <w:tc>
          <w:tcPr>
            <w:tcW w:w="1560" w:type="dxa"/>
          </w:tcPr>
          <w:p w:rsidR="008D196A" w:rsidRDefault="008D196A" w:rsidP="00313127">
            <w:pPr>
              <w:pStyle w:val="FinancialsTableText"/>
              <w:jc w:val="right"/>
            </w:pPr>
            <w:r>
              <w:t xml:space="preserve"> 88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Total depreciation and amortisation</w:t>
            </w:r>
          </w:p>
        </w:tc>
        <w:tc>
          <w:tcPr>
            <w:tcW w:w="1134" w:type="dxa"/>
          </w:tcPr>
          <w:p w:rsidR="008D196A" w:rsidRPr="005C28B0" w:rsidRDefault="008D196A" w:rsidP="00313127">
            <w:pPr>
              <w:pStyle w:val="FinancialsTableText"/>
              <w:jc w:val="right"/>
              <w:rPr>
                <w:b/>
              </w:rPr>
            </w:pPr>
            <w:r w:rsidRPr="005C28B0">
              <w:rPr>
                <w:b/>
              </w:rPr>
              <w:t xml:space="preserve"> 567 </w:t>
            </w:r>
          </w:p>
        </w:tc>
        <w:tc>
          <w:tcPr>
            <w:tcW w:w="1560" w:type="dxa"/>
          </w:tcPr>
          <w:p w:rsidR="008D196A" w:rsidRDefault="008D196A" w:rsidP="00313127">
            <w:pPr>
              <w:pStyle w:val="FinancialsTableText"/>
              <w:jc w:val="right"/>
            </w:pPr>
            <w:r>
              <w:t xml:space="preserve"> 378 </w:t>
            </w:r>
          </w:p>
        </w:tc>
        <w:tc>
          <w:tcPr>
            <w:tcW w:w="1477" w:type="dxa"/>
            <w:shd w:val="clear" w:color="auto" w:fill="E6E7E9"/>
          </w:tcPr>
          <w:p w:rsidR="008D196A" w:rsidRDefault="008D196A" w:rsidP="00313127">
            <w:pPr>
              <w:pStyle w:val="FinancialsTableText"/>
              <w:jc w:val="right"/>
            </w:pPr>
            <w:r>
              <w:t xml:space="preserve"> – </w:t>
            </w:r>
          </w:p>
        </w:tc>
      </w:tr>
      <w:tr w:rsidR="00393F00" w:rsidTr="00393F00">
        <w:trPr>
          <w:trHeight w:val="60"/>
        </w:trPr>
        <w:tc>
          <w:tcPr>
            <w:tcW w:w="8364" w:type="dxa"/>
            <w:gridSpan w:val="3"/>
          </w:tcPr>
          <w:p w:rsidR="008D196A" w:rsidRDefault="008D196A" w:rsidP="00882093">
            <w:pPr>
              <w:pStyle w:val="FinancialsTableH1"/>
            </w:pPr>
            <w:r>
              <w:t>Note 3D: Finance costs</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8D196A" w:rsidP="008D196A">
            <w:pPr>
              <w:pStyle w:val="FinancialsTableText"/>
            </w:pPr>
            <w:r>
              <w:t>Unwinding of discount</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7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Total finance costs</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7 </w:t>
            </w:r>
          </w:p>
        </w:tc>
        <w:tc>
          <w:tcPr>
            <w:tcW w:w="1477" w:type="dxa"/>
            <w:shd w:val="clear" w:color="auto" w:fill="E6E7E9"/>
          </w:tcPr>
          <w:p w:rsidR="008D196A" w:rsidRDefault="008D196A" w:rsidP="00313127">
            <w:pPr>
              <w:pStyle w:val="FinancialsTableText"/>
              <w:jc w:val="right"/>
            </w:pPr>
            <w:r>
              <w:t xml:space="preserve"> – </w:t>
            </w:r>
          </w:p>
        </w:tc>
      </w:tr>
      <w:tr w:rsidR="00393F00" w:rsidTr="00393F00">
        <w:trPr>
          <w:trHeight w:val="60"/>
        </w:trPr>
        <w:tc>
          <w:tcPr>
            <w:tcW w:w="8364" w:type="dxa"/>
            <w:gridSpan w:val="3"/>
          </w:tcPr>
          <w:p w:rsidR="008D196A" w:rsidRDefault="008D196A" w:rsidP="00882093">
            <w:pPr>
              <w:pStyle w:val="FinancialsTableH1"/>
            </w:pPr>
            <w:r>
              <w:t>Note 3E: Write-down and impairment of assets</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8D196A" w:rsidP="008D196A">
            <w:pPr>
              <w:pStyle w:val="FinancialsTableText"/>
            </w:pPr>
            <w:r>
              <w:t>Impairment of trade debtors</w:t>
            </w:r>
            <w:r>
              <w:rPr>
                <w:vertAlign w:val="superscript"/>
              </w:rPr>
              <w:t>1</w:t>
            </w:r>
          </w:p>
        </w:tc>
        <w:tc>
          <w:tcPr>
            <w:tcW w:w="1134" w:type="dxa"/>
          </w:tcPr>
          <w:p w:rsidR="008D196A" w:rsidRPr="005C28B0" w:rsidRDefault="008D196A" w:rsidP="00313127">
            <w:pPr>
              <w:pStyle w:val="FinancialsTableText"/>
              <w:jc w:val="right"/>
              <w:rPr>
                <w:b/>
              </w:rPr>
            </w:pPr>
            <w:r w:rsidRPr="005C28B0">
              <w:rPr>
                <w:b/>
              </w:rPr>
              <w:t xml:space="preserve"> 242 </w:t>
            </w:r>
          </w:p>
        </w:tc>
        <w:tc>
          <w:tcPr>
            <w:tcW w:w="1560" w:type="dxa"/>
          </w:tcPr>
          <w:p w:rsidR="008D196A" w:rsidRDefault="008D196A" w:rsidP="00313127">
            <w:pPr>
              <w:pStyle w:val="FinancialsTableText"/>
              <w:jc w:val="right"/>
            </w:pPr>
            <w:r>
              <w:t xml:space="preserve"> –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Default="008D196A" w:rsidP="008D196A">
            <w:pPr>
              <w:pStyle w:val="FinancialsTableText"/>
            </w:pPr>
            <w:r>
              <w:t xml:space="preserve">Revaluation decrements – plant and equipment </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31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Default="008D196A" w:rsidP="008D196A">
            <w:pPr>
              <w:pStyle w:val="FinancialsTableText"/>
            </w:pPr>
            <w:r>
              <w:t>Total write-down and impairment of assets</w:t>
            </w:r>
          </w:p>
        </w:tc>
        <w:tc>
          <w:tcPr>
            <w:tcW w:w="1134" w:type="dxa"/>
          </w:tcPr>
          <w:p w:rsidR="008D196A" w:rsidRPr="005C28B0" w:rsidRDefault="008D196A" w:rsidP="00313127">
            <w:pPr>
              <w:pStyle w:val="FinancialsTableText"/>
              <w:jc w:val="right"/>
              <w:rPr>
                <w:b/>
              </w:rPr>
            </w:pPr>
            <w:r w:rsidRPr="005C28B0">
              <w:rPr>
                <w:b/>
              </w:rPr>
              <w:t xml:space="preserve"> 242 </w:t>
            </w:r>
          </w:p>
        </w:tc>
        <w:tc>
          <w:tcPr>
            <w:tcW w:w="1560" w:type="dxa"/>
          </w:tcPr>
          <w:p w:rsidR="008D196A" w:rsidRDefault="008D196A" w:rsidP="00313127">
            <w:pPr>
              <w:pStyle w:val="FinancialsTableText"/>
              <w:jc w:val="right"/>
            </w:pPr>
            <w:r>
              <w:t xml:space="preserve"> 31 </w:t>
            </w:r>
          </w:p>
        </w:tc>
        <w:tc>
          <w:tcPr>
            <w:tcW w:w="1477" w:type="dxa"/>
            <w:shd w:val="clear" w:color="auto" w:fill="E6E7E9"/>
          </w:tcPr>
          <w:p w:rsidR="008D196A" w:rsidRDefault="008D196A" w:rsidP="00313127">
            <w:pPr>
              <w:pStyle w:val="FinancialsTableText"/>
              <w:jc w:val="right"/>
            </w:pPr>
            <w:r>
              <w:t xml:space="preserve"> – </w:t>
            </w:r>
          </w:p>
        </w:tc>
      </w:tr>
      <w:tr w:rsidR="00393F00" w:rsidTr="00393F00">
        <w:trPr>
          <w:trHeight w:val="60"/>
        </w:trPr>
        <w:tc>
          <w:tcPr>
            <w:tcW w:w="8364" w:type="dxa"/>
            <w:gridSpan w:val="3"/>
          </w:tcPr>
          <w:p w:rsidR="008D196A" w:rsidRPr="00882093" w:rsidRDefault="008D196A" w:rsidP="00882093">
            <w:pPr>
              <w:pStyle w:val="SourceNotesText"/>
              <w:spacing w:after="0"/>
              <w:rPr>
                <w:b/>
              </w:rPr>
            </w:pPr>
            <w:r w:rsidRPr="00882093">
              <w:rPr>
                <w:b/>
              </w:rPr>
              <w:t>Note</w:t>
            </w:r>
          </w:p>
          <w:p w:rsidR="008D196A" w:rsidRDefault="008D196A" w:rsidP="00882093">
            <w:pPr>
              <w:pStyle w:val="SourceNotesText"/>
              <w:spacing w:before="0"/>
            </w:pPr>
            <w:r>
              <w:t>1. An unpaid Intellectual Property sales invoice was assessed as impaired.</w:t>
            </w:r>
          </w:p>
        </w:tc>
        <w:tc>
          <w:tcPr>
            <w:tcW w:w="1477" w:type="dxa"/>
            <w:shd w:val="clear" w:color="auto" w:fill="E6E7E9"/>
          </w:tcPr>
          <w:p w:rsidR="008D196A" w:rsidRDefault="008D196A" w:rsidP="008D196A">
            <w:pPr>
              <w:pStyle w:val="FinancialsTableText"/>
            </w:pPr>
          </w:p>
        </w:tc>
      </w:tr>
      <w:tr w:rsidR="00393F00" w:rsidTr="00393F00">
        <w:trPr>
          <w:trHeight w:val="60"/>
        </w:trPr>
        <w:tc>
          <w:tcPr>
            <w:tcW w:w="8364" w:type="dxa"/>
            <w:gridSpan w:val="3"/>
          </w:tcPr>
          <w:p w:rsidR="008D196A" w:rsidRDefault="008D196A" w:rsidP="00882093">
            <w:pPr>
              <w:pStyle w:val="FinancialsTableH1"/>
            </w:pPr>
            <w:r>
              <w:t>Note 3F: Losses from asset sales</w:t>
            </w:r>
          </w:p>
        </w:tc>
        <w:tc>
          <w:tcPr>
            <w:tcW w:w="1477" w:type="dxa"/>
            <w:shd w:val="clear" w:color="auto" w:fill="E6E7E9"/>
          </w:tcPr>
          <w:p w:rsidR="008D196A" w:rsidRDefault="008D196A" w:rsidP="008D196A">
            <w:pPr>
              <w:pStyle w:val="FinancialsTableText"/>
            </w:pPr>
          </w:p>
        </w:tc>
      </w:tr>
      <w:tr w:rsidR="008D196A" w:rsidTr="00393F00">
        <w:trPr>
          <w:trHeight w:val="60"/>
        </w:trPr>
        <w:tc>
          <w:tcPr>
            <w:tcW w:w="5670" w:type="dxa"/>
          </w:tcPr>
          <w:p w:rsidR="008D196A" w:rsidRDefault="00D36FE0" w:rsidP="00882093">
            <w:pPr>
              <w:pStyle w:val="FinancialsTableH2"/>
            </w:pPr>
            <w:r>
              <w:t>Property, plant and equipment</w:t>
            </w:r>
          </w:p>
        </w:tc>
        <w:tc>
          <w:tcPr>
            <w:tcW w:w="1134" w:type="dxa"/>
          </w:tcPr>
          <w:p w:rsidR="008D196A" w:rsidRPr="005C28B0" w:rsidRDefault="008D196A" w:rsidP="00313127">
            <w:pPr>
              <w:pStyle w:val="FinancialsTableText"/>
              <w:jc w:val="right"/>
              <w:rPr>
                <w:b/>
              </w:rPr>
            </w:pPr>
          </w:p>
        </w:tc>
        <w:tc>
          <w:tcPr>
            <w:tcW w:w="1560" w:type="dxa"/>
          </w:tcPr>
          <w:p w:rsidR="008D196A" w:rsidRDefault="008D196A" w:rsidP="00313127">
            <w:pPr>
              <w:pStyle w:val="FinancialsTableText"/>
              <w:jc w:val="right"/>
            </w:pPr>
          </w:p>
        </w:tc>
        <w:tc>
          <w:tcPr>
            <w:tcW w:w="1477" w:type="dxa"/>
            <w:shd w:val="clear" w:color="auto" w:fill="E6E7E9"/>
          </w:tcPr>
          <w:p w:rsidR="008D196A" w:rsidRDefault="008D196A" w:rsidP="00313127">
            <w:pPr>
              <w:pStyle w:val="FinancialsTableText"/>
              <w:jc w:val="right"/>
            </w:pPr>
          </w:p>
        </w:tc>
      </w:tr>
      <w:tr w:rsidR="008D196A" w:rsidTr="00393F00">
        <w:trPr>
          <w:trHeight w:val="60"/>
        </w:trPr>
        <w:tc>
          <w:tcPr>
            <w:tcW w:w="5670" w:type="dxa"/>
          </w:tcPr>
          <w:p w:rsidR="008D196A" w:rsidRDefault="008D196A" w:rsidP="00882093">
            <w:pPr>
              <w:pStyle w:val="FinancialsTableTextIndented"/>
            </w:pPr>
            <w:r>
              <w:t>Proceeds from sale</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(1)</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Default="008D196A" w:rsidP="00882093">
            <w:pPr>
              <w:pStyle w:val="FinancialsTableTextIndented"/>
            </w:pPr>
            <w:r>
              <w:t>Carrying value of assets sold</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1 </w:t>
            </w:r>
          </w:p>
        </w:tc>
        <w:tc>
          <w:tcPr>
            <w:tcW w:w="1477" w:type="dxa"/>
            <w:shd w:val="clear" w:color="auto" w:fill="E6E7E9"/>
          </w:tcPr>
          <w:p w:rsidR="008D196A" w:rsidRDefault="008D196A" w:rsidP="00313127">
            <w:pPr>
              <w:pStyle w:val="FinancialsTableText"/>
              <w:jc w:val="right"/>
            </w:pPr>
            <w:r>
              <w:t xml:space="preserve"> – </w:t>
            </w:r>
          </w:p>
        </w:tc>
      </w:tr>
      <w:tr w:rsidR="008D196A" w:rsidTr="00393F00">
        <w:trPr>
          <w:trHeight w:val="60"/>
        </w:trPr>
        <w:tc>
          <w:tcPr>
            <w:tcW w:w="5670" w:type="dxa"/>
          </w:tcPr>
          <w:p w:rsidR="008D196A" w:rsidRPr="00882093" w:rsidRDefault="008D196A" w:rsidP="008D196A">
            <w:pPr>
              <w:pStyle w:val="FinancialsTableText"/>
              <w:rPr>
                <w:b/>
              </w:rPr>
            </w:pPr>
            <w:r w:rsidRPr="00882093">
              <w:rPr>
                <w:b/>
              </w:rPr>
              <w:t>Total losses from asset sales</w:t>
            </w:r>
          </w:p>
        </w:tc>
        <w:tc>
          <w:tcPr>
            <w:tcW w:w="1134" w:type="dxa"/>
          </w:tcPr>
          <w:p w:rsidR="008D196A" w:rsidRPr="005C28B0" w:rsidRDefault="008D196A" w:rsidP="00313127">
            <w:pPr>
              <w:pStyle w:val="FinancialsTableText"/>
              <w:jc w:val="right"/>
              <w:rPr>
                <w:b/>
              </w:rPr>
            </w:pPr>
            <w:r w:rsidRPr="005C28B0">
              <w:rPr>
                <w:b/>
              </w:rPr>
              <w:t xml:space="preserve"> – </w:t>
            </w:r>
          </w:p>
        </w:tc>
        <w:tc>
          <w:tcPr>
            <w:tcW w:w="1560" w:type="dxa"/>
          </w:tcPr>
          <w:p w:rsidR="008D196A" w:rsidRDefault="008D196A" w:rsidP="00313127">
            <w:pPr>
              <w:pStyle w:val="FinancialsTableText"/>
              <w:jc w:val="right"/>
            </w:pPr>
            <w:r>
              <w:t xml:space="preserve"> – </w:t>
            </w:r>
          </w:p>
        </w:tc>
        <w:tc>
          <w:tcPr>
            <w:tcW w:w="1477" w:type="dxa"/>
            <w:shd w:val="clear" w:color="auto" w:fill="E6E7E9"/>
          </w:tcPr>
          <w:p w:rsidR="008D196A" w:rsidRDefault="008D196A" w:rsidP="00313127">
            <w:pPr>
              <w:pStyle w:val="FinancialsTableText"/>
              <w:jc w:val="right"/>
            </w:pPr>
            <w:r>
              <w:t xml:space="preserve"> – </w:t>
            </w:r>
          </w:p>
        </w:tc>
      </w:tr>
    </w:tbl>
    <w:p w:rsidR="00EB5539" w:rsidRDefault="00EB5539" w:rsidP="006C1EAA">
      <w:pPr>
        <w:rPr>
          <w:lang w:val="en-GB"/>
        </w:rPr>
      </w:pPr>
      <w:r>
        <w:rPr>
          <w:lang w:val="en-GB"/>
        </w:rPr>
        <w:br w:type="page"/>
      </w:r>
    </w:p>
    <w:p w:rsidR="008D196A" w:rsidRDefault="00EB5539" w:rsidP="00EB5539">
      <w:pPr>
        <w:pStyle w:val="FinancialsH2"/>
        <w:rPr>
          <w:lang w:val="en-GB"/>
        </w:rPr>
      </w:pPr>
      <w:bookmarkStart w:id="27" w:name="_Toc433193207"/>
      <w:r>
        <w:rPr>
          <w:lang w:val="en-GB"/>
        </w:rPr>
        <w:lastRenderedPageBreak/>
        <w:t>Note 4: Own-source income</w:t>
      </w:r>
      <w:bookmarkEnd w:id="27"/>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Own-source income"/>
      </w:tblPr>
      <w:tblGrid>
        <w:gridCol w:w="5670"/>
        <w:gridCol w:w="1134"/>
        <w:gridCol w:w="1560"/>
        <w:gridCol w:w="1491"/>
      </w:tblGrid>
      <w:tr w:rsidR="00393F00" w:rsidRPr="00393F00" w:rsidTr="00F97100">
        <w:trPr>
          <w:cnfStyle w:val="100000000000" w:firstRow="1" w:lastRow="0" w:firstColumn="0" w:lastColumn="0" w:oddVBand="0" w:evenVBand="0" w:oddHBand="0" w:evenHBand="0" w:firstRowFirstColumn="0" w:firstRowLastColumn="0" w:lastRowFirstColumn="0" w:lastRowLastColumn="0"/>
          <w:trHeight w:val="60"/>
        </w:trPr>
        <w:tc>
          <w:tcPr>
            <w:tcW w:w="5670" w:type="dxa"/>
          </w:tcPr>
          <w:p w:rsidR="00393F00" w:rsidRPr="00393F00" w:rsidRDefault="00393F00" w:rsidP="00393F00">
            <w:pPr>
              <w:pStyle w:val="FinancialsTableText"/>
            </w:pPr>
          </w:p>
        </w:tc>
        <w:tc>
          <w:tcPr>
            <w:tcW w:w="1134" w:type="dxa"/>
            <w:vAlign w:val="top"/>
          </w:tcPr>
          <w:p w:rsidR="00393F00" w:rsidRPr="00393F00" w:rsidRDefault="00393F00" w:rsidP="00393F00">
            <w:pPr>
              <w:pStyle w:val="FinancialsTableText"/>
              <w:jc w:val="right"/>
            </w:pPr>
            <w:r w:rsidRPr="00393F00">
              <w:t>2015</w:t>
            </w:r>
            <w:r>
              <w:br/>
            </w:r>
            <w:r w:rsidRPr="00393F00">
              <w:rPr>
                <w:b w:val="0"/>
              </w:rPr>
              <w:t>$’000</w:t>
            </w:r>
          </w:p>
        </w:tc>
        <w:tc>
          <w:tcPr>
            <w:tcW w:w="1560" w:type="dxa"/>
            <w:vAlign w:val="top"/>
          </w:tcPr>
          <w:p w:rsidR="00393F00" w:rsidRPr="00393F00" w:rsidRDefault="00393F00" w:rsidP="00393F00">
            <w:pPr>
              <w:pStyle w:val="FinancialsTableText"/>
              <w:jc w:val="right"/>
            </w:pPr>
            <w:r>
              <w:t>2014</w:t>
            </w:r>
            <w:r>
              <w:br/>
            </w:r>
            <w:r w:rsidRPr="00393F00">
              <w:rPr>
                <w:b w:val="0"/>
              </w:rPr>
              <w:t>$’000</w:t>
            </w:r>
            <w:r w:rsidRPr="00393F00">
              <w:rPr>
                <w:b w:val="0"/>
              </w:rPr>
              <w:br/>
              <w:t>Departmental</w:t>
            </w:r>
          </w:p>
        </w:tc>
        <w:tc>
          <w:tcPr>
            <w:tcW w:w="1491" w:type="dxa"/>
            <w:shd w:val="clear" w:color="auto" w:fill="E6E7E9"/>
            <w:vAlign w:val="top"/>
          </w:tcPr>
          <w:p w:rsidR="00393F00" w:rsidRPr="00393F00" w:rsidRDefault="00393F00" w:rsidP="00C97188">
            <w:pPr>
              <w:pStyle w:val="FinancialsTableText"/>
              <w:jc w:val="right"/>
            </w:pPr>
            <w:r>
              <w:t>2014</w:t>
            </w:r>
            <w:r>
              <w:br/>
            </w:r>
            <w:r w:rsidRPr="00393F00">
              <w:rPr>
                <w:b w:val="0"/>
              </w:rPr>
              <w:t>$’000</w:t>
            </w:r>
            <w:r w:rsidRPr="00393F00">
              <w:rPr>
                <w:b w:val="0"/>
              </w:rPr>
              <w:br/>
              <w:t>Administered</w:t>
            </w:r>
          </w:p>
        </w:tc>
      </w:tr>
      <w:tr w:rsidR="00F97100" w:rsidRPr="00393F00" w:rsidTr="00F97100">
        <w:trPr>
          <w:trHeight w:val="60"/>
        </w:trPr>
        <w:tc>
          <w:tcPr>
            <w:tcW w:w="8364" w:type="dxa"/>
            <w:gridSpan w:val="3"/>
          </w:tcPr>
          <w:p w:rsidR="00393F00" w:rsidRPr="00393F00" w:rsidRDefault="00393F00" w:rsidP="00C97188">
            <w:pPr>
              <w:pStyle w:val="FinancialsTableH1"/>
            </w:pPr>
            <w:r w:rsidRPr="00393F00">
              <w:t>Note 4A: Sale of goods and rendering of services</w:t>
            </w:r>
          </w:p>
        </w:tc>
        <w:tc>
          <w:tcPr>
            <w:tcW w:w="1491" w:type="dxa"/>
            <w:shd w:val="clear" w:color="auto" w:fill="E6E7E9"/>
          </w:tcPr>
          <w:p w:rsidR="00393F00" w:rsidRPr="00393F00" w:rsidRDefault="00393F00" w:rsidP="00C97188">
            <w:pPr>
              <w:pStyle w:val="FinancialsTableText"/>
              <w:jc w:val="right"/>
            </w:pPr>
          </w:p>
        </w:tc>
      </w:tr>
      <w:tr w:rsidR="00F97100" w:rsidRPr="00393F00" w:rsidTr="00F97100">
        <w:trPr>
          <w:trHeight w:val="60"/>
        </w:trPr>
        <w:tc>
          <w:tcPr>
            <w:tcW w:w="8364" w:type="dxa"/>
            <w:gridSpan w:val="3"/>
          </w:tcPr>
          <w:p w:rsidR="00393F00" w:rsidRPr="00393F00" w:rsidRDefault="00393F00" w:rsidP="00C97188">
            <w:pPr>
              <w:pStyle w:val="FinancialsTableH2"/>
            </w:pPr>
            <w:r w:rsidRPr="00393F00">
              <w:t>Rendering of services in connection with</w:t>
            </w: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C97188">
            <w:pPr>
              <w:pStyle w:val="FinancialsTableTextIndented"/>
            </w:pPr>
            <w:r w:rsidRPr="00393F00">
              <w:t>Related parties</w:t>
            </w:r>
          </w:p>
        </w:tc>
        <w:tc>
          <w:tcPr>
            <w:tcW w:w="1134" w:type="dxa"/>
          </w:tcPr>
          <w:p w:rsidR="00393F00" w:rsidRPr="00C97188" w:rsidRDefault="00393F00" w:rsidP="00C97188">
            <w:pPr>
              <w:pStyle w:val="FinancialsTableText"/>
              <w:jc w:val="right"/>
              <w:rPr>
                <w:b/>
              </w:rPr>
            </w:pPr>
            <w:r w:rsidRPr="00C97188">
              <w:rPr>
                <w:b/>
              </w:rPr>
              <w:t xml:space="preserve"> 500 </w:t>
            </w:r>
          </w:p>
        </w:tc>
        <w:tc>
          <w:tcPr>
            <w:tcW w:w="1560" w:type="dxa"/>
          </w:tcPr>
          <w:p w:rsidR="00393F00" w:rsidRPr="00393F00" w:rsidRDefault="00393F00" w:rsidP="00C97188">
            <w:pPr>
              <w:pStyle w:val="FinancialsTableText"/>
              <w:jc w:val="right"/>
            </w:pPr>
            <w:r w:rsidRPr="00393F00">
              <w:t xml:space="preserve"> –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393F00" w:rsidRPr="00393F00" w:rsidTr="00F97100">
        <w:trPr>
          <w:trHeight w:val="60"/>
        </w:trPr>
        <w:tc>
          <w:tcPr>
            <w:tcW w:w="5670" w:type="dxa"/>
          </w:tcPr>
          <w:p w:rsidR="00393F00" w:rsidRPr="00393F00" w:rsidRDefault="00393F00" w:rsidP="00C97188">
            <w:pPr>
              <w:pStyle w:val="FinancialsTableTextIndented"/>
            </w:pPr>
            <w:r w:rsidRPr="00393F00">
              <w:t xml:space="preserve">External parties </w:t>
            </w:r>
          </w:p>
        </w:tc>
        <w:tc>
          <w:tcPr>
            <w:tcW w:w="1134" w:type="dxa"/>
          </w:tcPr>
          <w:p w:rsidR="00393F00" w:rsidRPr="00C97188" w:rsidRDefault="00393F00" w:rsidP="00C97188">
            <w:pPr>
              <w:pStyle w:val="FinancialsTableText"/>
              <w:jc w:val="right"/>
              <w:rPr>
                <w:b/>
              </w:rPr>
            </w:pPr>
            <w:r w:rsidRPr="00C97188">
              <w:rPr>
                <w:b/>
              </w:rPr>
              <w:t xml:space="preserve"> 1,864 </w:t>
            </w:r>
          </w:p>
        </w:tc>
        <w:tc>
          <w:tcPr>
            <w:tcW w:w="1560" w:type="dxa"/>
          </w:tcPr>
          <w:p w:rsidR="00393F00" w:rsidRPr="00393F00" w:rsidRDefault="00393F00" w:rsidP="00C97188">
            <w:pPr>
              <w:pStyle w:val="FinancialsTableText"/>
              <w:jc w:val="right"/>
            </w:pPr>
            <w:r w:rsidRPr="00393F00">
              <w:t xml:space="preserve"> 448 </w:t>
            </w:r>
          </w:p>
        </w:tc>
        <w:tc>
          <w:tcPr>
            <w:tcW w:w="1491" w:type="dxa"/>
            <w:shd w:val="clear" w:color="auto" w:fill="E6E7E9"/>
          </w:tcPr>
          <w:p w:rsidR="00393F00" w:rsidRPr="00393F00" w:rsidRDefault="00393F00" w:rsidP="00C97188">
            <w:pPr>
              <w:pStyle w:val="FinancialsTableText"/>
              <w:jc w:val="right"/>
            </w:pPr>
            <w:r w:rsidRPr="00393F00">
              <w:t xml:space="preserve"> 567 </w:t>
            </w:r>
          </w:p>
        </w:tc>
      </w:tr>
      <w:tr w:rsidR="00393F00" w:rsidRPr="00393F00" w:rsidTr="00F97100">
        <w:trPr>
          <w:trHeight w:val="60"/>
        </w:trPr>
        <w:tc>
          <w:tcPr>
            <w:tcW w:w="5670" w:type="dxa"/>
          </w:tcPr>
          <w:p w:rsidR="00393F00" w:rsidRPr="00C97188" w:rsidRDefault="00393F00" w:rsidP="00393F00">
            <w:pPr>
              <w:pStyle w:val="FinancialsTableText"/>
              <w:rPr>
                <w:b/>
              </w:rPr>
            </w:pPr>
            <w:r w:rsidRPr="00C97188">
              <w:rPr>
                <w:b/>
              </w:rPr>
              <w:t xml:space="preserve">Total rendering of services </w:t>
            </w:r>
          </w:p>
        </w:tc>
        <w:tc>
          <w:tcPr>
            <w:tcW w:w="1134" w:type="dxa"/>
          </w:tcPr>
          <w:p w:rsidR="00393F00" w:rsidRPr="00C97188" w:rsidRDefault="00393F00" w:rsidP="00C97188">
            <w:pPr>
              <w:pStyle w:val="FinancialsTableText"/>
              <w:jc w:val="right"/>
              <w:rPr>
                <w:b/>
              </w:rPr>
            </w:pPr>
            <w:r w:rsidRPr="00C97188">
              <w:rPr>
                <w:b/>
              </w:rPr>
              <w:t xml:space="preserve"> 2,364 </w:t>
            </w:r>
          </w:p>
        </w:tc>
        <w:tc>
          <w:tcPr>
            <w:tcW w:w="1560" w:type="dxa"/>
          </w:tcPr>
          <w:p w:rsidR="00393F00" w:rsidRPr="00393F00" w:rsidRDefault="00393F00" w:rsidP="00C97188">
            <w:pPr>
              <w:pStyle w:val="FinancialsTableText"/>
              <w:jc w:val="right"/>
            </w:pPr>
            <w:r w:rsidRPr="00393F00">
              <w:t xml:space="preserve"> 448 </w:t>
            </w:r>
          </w:p>
        </w:tc>
        <w:tc>
          <w:tcPr>
            <w:tcW w:w="1491" w:type="dxa"/>
            <w:shd w:val="clear" w:color="auto" w:fill="E6E7E9"/>
          </w:tcPr>
          <w:p w:rsidR="00393F00" w:rsidRPr="00393F00" w:rsidRDefault="00393F00" w:rsidP="00C97188">
            <w:pPr>
              <w:pStyle w:val="FinancialsTableText"/>
              <w:jc w:val="right"/>
            </w:pPr>
            <w:r w:rsidRPr="00393F00">
              <w:t xml:space="preserve"> 567 </w:t>
            </w:r>
          </w:p>
        </w:tc>
      </w:tr>
      <w:tr w:rsidR="00393F00" w:rsidRPr="00393F00" w:rsidTr="00F97100">
        <w:trPr>
          <w:trHeight w:val="60"/>
        </w:trPr>
        <w:tc>
          <w:tcPr>
            <w:tcW w:w="5670" w:type="dxa"/>
          </w:tcPr>
          <w:p w:rsidR="00393F00" w:rsidRPr="00C97188" w:rsidRDefault="00393F00" w:rsidP="00393F00">
            <w:pPr>
              <w:pStyle w:val="FinancialsTableText"/>
              <w:rPr>
                <w:b/>
              </w:rPr>
            </w:pPr>
            <w:r w:rsidRPr="00C97188">
              <w:rPr>
                <w:b/>
              </w:rPr>
              <w:t xml:space="preserve">Total sales of goods and rendering of services </w:t>
            </w:r>
          </w:p>
        </w:tc>
        <w:tc>
          <w:tcPr>
            <w:tcW w:w="1134" w:type="dxa"/>
          </w:tcPr>
          <w:p w:rsidR="00393F00" w:rsidRPr="00C97188" w:rsidRDefault="00393F00" w:rsidP="00C97188">
            <w:pPr>
              <w:pStyle w:val="FinancialsTableText"/>
              <w:jc w:val="right"/>
              <w:rPr>
                <w:b/>
              </w:rPr>
            </w:pPr>
            <w:r w:rsidRPr="00C97188">
              <w:rPr>
                <w:b/>
              </w:rPr>
              <w:t xml:space="preserve"> 2,364 </w:t>
            </w:r>
          </w:p>
        </w:tc>
        <w:tc>
          <w:tcPr>
            <w:tcW w:w="1560" w:type="dxa"/>
          </w:tcPr>
          <w:p w:rsidR="00393F00" w:rsidRPr="00393F00" w:rsidRDefault="00393F00" w:rsidP="00C97188">
            <w:pPr>
              <w:pStyle w:val="FinancialsTableText"/>
              <w:jc w:val="right"/>
            </w:pPr>
            <w:r w:rsidRPr="00393F00">
              <w:t xml:space="preserve"> 448 </w:t>
            </w:r>
          </w:p>
        </w:tc>
        <w:tc>
          <w:tcPr>
            <w:tcW w:w="1491" w:type="dxa"/>
            <w:shd w:val="clear" w:color="auto" w:fill="E6E7E9"/>
          </w:tcPr>
          <w:p w:rsidR="00393F00" w:rsidRPr="00393F00" w:rsidRDefault="00393F00" w:rsidP="00C97188">
            <w:pPr>
              <w:pStyle w:val="FinancialsTableText"/>
              <w:jc w:val="right"/>
            </w:pPr>
            <w:r w:rsidRPr="00393F00">
              <w:t xml:space="preserve"> 567 </w:t>
            </w:r>
          </w:p>
        </w:tc>
      </w:tr>
      <w:tr w:rsidR="00F97100" w:rsidRPr="00393F00" w:rsidTr="00F97100">
        <w:trPr>
          <w:trHeight w:val="60"/>
        </w:trPr>
        <w:tc>
          <w:tcPr>
            <w:tcW w:w="8364" w:type="dxa"/>
            <w:gridSpan w:val="3"/>
          </w:tcPr>
          <w:p w:rsidR="00393F00" w:rsidRPr="00393F00" w:rsidRDefault="00393F00" w:rsidP="00F97100">
            <w:pPr>
              <w:pStyle w:val="FinancialsTableH1"/>
            </w:pPr>
            <w:r w:rsidRPr="00393F00">
              <w:t xml:space="preserve">Note 4B: Other revenue </w:t>
            </w: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393F00">
            <w:pPr>
              <w:pStyle w:val="FinancialsTableText"/>
            </w:pPr>
            <w:r w:rsidRPr="00393F00">
              <w:t xml:space="preserve">Other </w:t>
            </w:r>
          </w:p>
        </w:tc>
        <w:tc>
          <w:tcPr>
            <w:tcW w:w="1134" w:type="dxa"/>
          </w:tcPr>
          <w:p w:rsidR="00393F00" w:rsidRPr="00C97188" w:rsidRDefault="00393F00" w:rsidP="00C97188">
            <w:pPr>
              <w:pStyle w:val="FinancialsTableText"/>
              <w:jc w:val="right"/>
              <w:rPr>
                <w:b/>
              </w:rPr>
            </w:pPr>
            <w:r w:rsidRPr="00C97188">
              <w:rPr>
                <w:b/>
              </w:rPr>
              <w:t xml:space="preserve"> 38 </w:t>
            </w:r>
          </w:p>
        </w:tc>
        <w:tc>
          <w:tcPr>
            <w:tcW w:w="1560" w:type="dxa"/>
          </w:tcPr>
          <w:p w:rsidR="00393F00" w:rsidRPr="00393F00" w:rsidRDefault="00393F00" w:rsidP="00C97188">
            <w:pPr>
              <w:pStyle w:val="FinancialsTableText"/>
              <w:jc w:val="right"/>
            </w:pPr>
            <w:r w:rsidRPr="00393F00">
              <w:t xml:space="preserve"> 8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393F00" w:rsidRPr="00393F00" w:rsidTr="00F97100">
        <w:trPr>
          <w:trHeight w:val="60"/>
        </w:trPr>
        <w:tc>
          <w:tcPr>
            <w:tcW w:w="5670" w:type="dxa"/>
          </w:tcPr>
          <w:p w:rsidR="00393F00" w:rsidRPr="00F97100" w:rsidRDefault="00393F00" w:rsidP="00393F00">
            <w:pPr>
              <w:pStyle w:val="FinancialsTableText"/>
              <w:rPr>
                <w:b/>
              </w:rPr>
            </w:pPr>
            <w:r w:rsidRPr="00F97100">
              <w:rPr>
                <w:b/>
              </w:rPr>
              <w:t>Total other revenue</w:t>
            </w:r>
          </w:p>
        </w:tc>
        <w:tc>
          <w:tcPr>
            <w:tcW w:w="1134" w:type="dxa"/>
          </w:tcPr>
          <w:p w:rsidR="00393F00" w:rsidRPr="00C97188" w:rsidRDefault="00393F00" w:rsidP="00C97188">
            <w:pPr>
              <w:pStyle w:val="FinancialsTableText"/>
              <w:jc w:val="right"/>
              <w:rPr>
                <w:b/>
              </w:rPr>
            </w:pPr>
            <w:r w:rsidRPr="00C97188">
              <w:rPr>
                <w:b/>
              </w:rPr>
              <w:t xml:space="preserve"> 38 </w:t>
            </w:r>
          </w:p>
        </w:tc>
        <w:tc>
          <w:tcPr>
            <w:tcW w:w="1560" w:type="dxa"/>
          </w:tcPr>
          <w:p w:rsidR="00393F00" w:rsidRPr="00393F00" w:rsidRDefault="00393F00" w:rsidP="00C97188">
            <w:pPr>
              <w:pStyle w:val="FinancialsTableText"/>
              <w:jc w:val="right"/>
            </w:pPr>
            <w:r w:rsidRPr="00393F00">
              <w:t xml:space="preserve"> 8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F97100" w:rsidRPr="00393F00" w:rsidTr="00F97100">
        <w:trPr>
          <w:trHeight w:val="60"/>
        </w:trPr>
        <w:tc>
          <w:tcPr>
            <w:tcW w:w="8364" w:type="dxa"/>
            <w:gridSpan w:val="3"/>
          </w:tcPr>
          <w:p w:rsidR="00393F00" w:rsidRPr="00393F00" w:rsidRDefault="00393F00" w:rsidP="00F97100">
            <w:pPr>
              <w:pStyle w:val="FinancialsTableH1"/>
            </w:pPr>
            <w:r w:rsidRPr="00393F00">
              <w:t xml:space="preserve">Note 4C: Interest revenue </w:t>
            </w: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393F00">
            <w:pPr>
              <w:pStyle w:val="FinancialsTableText"/>
            </w:pPr>
            <w:r w:rsidRPr="00393F00">
              <w:t>Interest</w:t>
            </w:r>
          </w:p>
        </w:tc>
        <w:tc>
          <w:tcPr>
            <w:tcW w:w="1134" w:type="dxa"/>
          </w:tcPr>
          <w:p w:rsidR="00393F00" w:rsidRPr="00C97188" w:rsidRDefault="00393F00" w:rsidP="00C97188">
            <w:pPr>
              <w:pStyle w:val="FinancialsTableText"/>
              <w:jc w:val="right"/>
              <w:rPr>
                <w:b/>
              </w:rPr>
            </w:pPr>
            <w:r w:rsidRPr="00C97188">
              <w:rPr>
                <w:b/>
              </w:rPr>
              <w:t xml:space="preserve"> 34 </w:t>
            </w:r>
          </w:p>
        </w:tc>
        <w:tc>
          <w:tcPr>
            <w:tcW w:w="1560" w:type="dxa"/>
          </w:tcPr>
          <w:p w:rsidR="00393F00" w:rsidRPr="00393F00" w:rsidRDefault="00393F00" w:rsidP="00C97188">
            <w:pPr>
              <w:pStyle w:val="FinancialsTableText"/>
              <w:jc w:val="right"/>
            </w:pPr>
            <w:r w:rsidRPr="00393F00">
              <w:t xml:space="preserve"> –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393F00" w:rsidRPr="00393F00" w:rsidTr="00F97100">
        <w:trPr>
          <w:trHeight w:val="60"/>
        </w:trPr>
        <w:tc>
          <w:tcPr>
            <w:tcW w:w="5670" w:type="dxa"/>
          </w:tcPr>
          <w:p w:rsidR="00393F00" w:rsidRPr="00F97100" w:rsidRDefault="00393F00" w:rsidP="00393F00">
            <w:pPr>
              <w:pStyle w:val="FinancialsTableText"/>
              <w:rPr>
                <w:b/>
              </w:rPr>
            </w:pPr>
            <w:r w:rsidRPr="00F97100">
              <w:rPr>
                <w:b/>
              </w:rPr>
              <w:t>Total interest revenue</w:t>
            </w:r>
          </w:p>
        </w:tc>
        <w:tc>
          <w:tcPr>
            <w:tcW w:w="1134" w:type="dxa"/>
          </w:tcPr>
          <w:p w:rsidR="00393F00" w:rsidRPr="00C97188" w:rsidRDefault="00393F00" w:rsidP="00C97188">
            <w:pPr>
              <w:pStyle w:val="FinancialsTableText"/>
              <w:jc w:val="right"/>
              <w:rPr>
                <w:b/>
              </w:rPr>
            </w:pPr>
            <w:r w:rsidRPr="00C97188">
              <w:rPr>
                <w:b/>
              </w:rPr>
              <w:t xml:space="preserve"> 34 </w:t>
            </w:r>
          </w:p>
        </w:tc>
        <w:tc>
          <w:tcPr>
            <w:tcW w:w="1560" w:type="dxa"/>
          </w:tcPr>
          <w:p w:rsidR="00393F00" w:rsidRPr="00393F00" w:rsidRDefault="00393F00" w:rsidP="00C97188">
            <w:pPr>
              <w:pStyle w:val="FinancialsTableText"/>
              <w:jc w:val="right"/>
            </w:pPr>
            <w:r w:rsidRPr="00393F00">
              <w:t xml:space="preserve"> –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F97100" w:rsidRPr="00393F00" w:rsidTr="00F97100">
        <w:trPr>
          <w:trHeight w:val="60"/>
        </w:trPr>
        <w:tc>
          <w:tcPr>
            <w:tcW w:w="8364" w:type="dxa"/>
            <w:gridSpan w:val="3"/>
          </w:tcPr>
          <w:p w:rsidR="00393F00" w:rsidRPr="00393F00" w:rsidRDefault="00393F00" w:rsidP="00F97100">
            <w:pPr>
              <w:pStyle w:val="FinancialsTableH1"/>
            </w:pPr>
            <w:r w:rsidRPr="00393F00">
              <w:t>Note 4D: Other gains</w:t>
            </w: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393F00">
            <w:pPr>
              <w:pStyle w:val="FinancialsTableText"/>
            </w:pPr>
            <w:r w:rsidRPr="00393F00">
              <w:t>Resources received free of charge</w:t>
            </w:r>
          </w:p>
        </w:tc>
        <w:tc>
          <w:tcPr>
            <w:tcW w:w="1134" w:type="dxa"/>
          </w:tcPr>
          <w:p w:rsidR="00393F00" w:rsidRPr="00C97188" w:rsidRDefault="00393F00" w:rsidP="00C97188">
            <w:pPr>
              <w:pStyle w:val="FinancialsTableText"/>
              <w:jc w:val="right"/>
              <w:rPr>
                <w:b/>
              </w:rPr>
            </w:pPr>
            <w:r w:rsidRPr="00C97188">
              <w:rPr>
                <w:b/>
              </w:rPr>
              <w:t xml:space="preserve"> 58 </w:t>
            </w:r>
          </w:p>
        </w:tc>
        <w:tc>
          <w:tcPr>
            <w:tcW w:w="1560" w:type="dxa"/>
          </w:tcPr>
          <w:p w:rsidR="00393F00" w:rsidRPr="00393F00" w:rsidRDefault="00393F00" w:rsidP="00C97188">
            <w:pPr>
              <w:pStyle w:val="FinancialsTableText"/>
              <w:jc w:val="right"/>
            </w:pPr>
            <w:r w:rsidRPr="00393F00">
              <w:t xml:space="preserve"> 58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393F00" w:rsidRPr="00393F00" w:rsidTr="00F97100">
        <w:trPr>
          <w:trHeight w:val="60"/>
        </w:trPr>
        <w:tc>
          <w:tcPr>
            <w:tcW w:w="5670" w:type="dxa"/>
          </w:tcPr>
          <w:p w:rsidR="00393F00" w:rsidRPr="00F97100" w:rsidRDefault="00393F00" w:rsidP="00393F00">
            <w:pPr>
              <w:pStyle w:val="FinancialsTableText"/>
              <w:rPr>
                <w:b/>
              </w:rPr>
            </w:pPr>
            <w:r w:rsidRPr="00F97100">
              <w:rPr>
                <w:b/>
              </w:rPr>
              <w:t>Total other gains</w:t>
            </w:r>
          </w:p>
        </w:tc>
        <w:tc>
          <w:tcPr>
            <w:tcW w:w="1134" w:type="dxa"/>
          </w:tcPr>
          <w:p w:rsidR="00393F00" w:rsidRPr="00C97188" w:rsidRDefault="00393F00" w:rsidP="00C97188">
            <w:pPr>
              <w:pStyle w:val="FinancialsTableText"/>
              <w:jc w:val="right"/>
              <w:rPr>
                <w:b/>
              </w:rPr>
            </w:pPr>
            <w:r w:rsidRPr="00C97188">
              <w:rPr>
                <w:b/>
              </w:rPr>
              <w:t xml:space="preserve"> 58 </w:t>
            </w:r>
          </w:p>
        </w:tc>
        <w:tc>
          <w:tcPr>
            <w:tcW w:w="1560" w:type="dxa"/>
          </w:tcPr>
          <w:p w:rsidR="00393F00" w:rsidRPr="00393F00" w:rsidRDefault="00393F00" w:rsidP="00C97188">
            <w:pPr>
              <w:pStyle w:val="FinancialsTableText"/>
              <w:jc w:val="right"/>
            </w:pPr>
            <w:r w:rsidRPr="00393F00">
              <w:t xml:space="preserve"> 58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F97100" w:rsidRPr="00393F00" w:rsidTr="00F97100">
        <w:trPr>
          <w:trHeight w:val="60"/>
        </w:trPr>
        <w:tc>
          <w:tcPr>
            <w:tcW w:w="8364" w:type="dxa"/>
            <w:gridSpan w:val="3"/>
          </w:tcPr>
          <w:p w:rsidR="00393F00" w:rsidRPr="00393F00" w:rsidRDefault="00393F00" w:rsidP="00F97100">
            <w:pPr>
              <w:pStyle w:val="FinancialsTableH1"/>
            </w:pPr>
            <w:r w:rsidRPr="00393F00">
              <w:t>Note 4E: Revenue from Government</w:t>
            </w: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393F00">
            <w:pPr>
              <w:pStyle w:val="FinancialsTableText"/>
            </w:pPr>
            <w:r w:rsidRPr="00393F00">
              <w:t>Appropriations</w:t>
            </w:r>
          </w:p>
        </w:tc>
        <w:tc>
          <w:tcPr>
            <w:tcW w:w="1134" w:type="dxa"/>
          </w:tcPr>
          <w:p w:rsidR="00393F00" w:rsidRPr="00C97188" w:rsidRDefault="00393F00" w:rsidP="00C97188">
            <w:pPr>
              <w:pStyle w:val="FinancialsTableText"/>
              <w:jc w:val="right"/>
              <w:rPr>
                <w:b/>
              </w:rPr>
            </w:pPr>
          </w:p>
        </w:tc>
        <w:tc>
          <w:tcPr>
            <w:tcW w:w="1560" w:type="dxa"/>
          </w:tcPr>
          <w:p w:rsidR="00393F00" w:rsidRPr="00393F00" w:rsidRDefault="00393F00" w:rsidP="00C97188">
            <w:pPr>
              <w:pStyle w:val="FinancialsTableText"/>
              <w:jc w:val="right"/>
            </w:pPr>
          </w:p>
        </w:tc>
        <w:tc>
          <w:tcPr>
            <w:tcW w:w="1491" w:type="dxa"/>
            <w:shd w:val="clear" w:color="auto" w:fill="E6E7E9"/>
          </w:tcPr>
          <w:p w:rsidR="00393F00" w:rsidRPr="00393F00" w:rsidRDefault="00393F00" w:rsidP="00C97188">
            <w:pPr>
              <w:pStyle w:val="FinancialsTableText"/>
              <w:jc w:val="right"/>
            </w:pPr>
          </w:p>
        </w:tc>
      </w:tr>
      <w:tr w:rsidR="00393F00" w:rsidRPr="00393F00" w:rsidTr="00F97100">
        <w:trPr>
          <w:trHeight w:val="60"/>
        </w:trPr>
        <w:tc>
          <w:tcPr>
            <w:tcW w:w="5670" w:type="dxa"/>
          </w:tcPr>
          <w:p w:rsidR="00393F00" w:rsidRPr="00393F00" w:rsidRDefault="00393F00" w:rsidP="00F97100">
            <w:pPr>
              <w:pStyle w:val="FinancialsTableTextIndented"/>
            </w:pPr>
            <w:r w:rsidRPr="00393F00">
              <w:t>Departmental appropriations</w:t>
            </w:r>
          </w:p>
        </w:tc>
        <w:tc>
          <w:tcPr>
            <w:tcW w:w="1134" w:type="dxa"/>
          </w:tcPr>
          <w:p w:rsidR="00393F00" w:rsidRPr="00C97188" w:rsidRDefault="00393F00" w:rsidP="00C97188">
            <w:pPr>
              <w:pStyle w:val="FinancialsTableText"/>
              <w:jc w:val="right"/>
              <w:rPr>
                <w:b/>
              </w:rPr>
            </w:pPr>
            <w:r w:rsidRPr="00C97188">
              <w:rPr>
                <w:b/>
              </w:rPr>
              <w:t xml:space="preserve"> 25,726 </w:t>
            </w:r>
          </w:p>
        </w:tc>
        <w:tc>
          <w:tcPr>
            <w:tcW w:w="1560" w:type="dxa"/>
          </w:tcPr>
          <w:p w:rsidR="00393F00" w:rsidRPr="00393F00" w:rsidRDefault="00393F00" w:rsidP="00C97188">
            <w:pPr>
              <w:pStyle w:val="FinancialsTableText"/>
              <w:jc w:val="right"/>
            </w:pPr>
            <w:r w:rsidRPr="00393F00">
              <w:t xml:space="preserve"> 13,407 </w:t>
            </w:r>
          </w:p>
        </w:tc>
        <w:tc>
          <w:tcPr>
            <w:tcW w:w="1491" w:type="dxa"/>
            <w:shd w:val="clear" w:color="auto" w:fill="E6E7E9"/>
          </w:tcPr>
          <w:p w:rsidR="00393F00" w:rsidRPr="00393F00" w:rsidRDefault="00393F00" w:rsidP="00C97188">
            <w:pPr>
              <w:pStyle w:val="FinancialsTableText"/>
              <w:jc w:val="right"/>
            </w:pPr>
            <w:r w:rsidRPr="00393F00">
              <w:t xml:space="preserve"> – </w:t>
            </w:r>
          </w:p>
        </w:tc>
      </w:tr>
      <w:tr w:rsidR="00393F00" w:rsidRPr="00393F00" w:rsidTr="00F97100">
        <w:trPr>
          <w:trHeight w:val="60"/>
        </w:trPr>
        <w:tc>
          <w:tcPr>
            <w:tcW w:w="5670" w:type="dxa"/>
          </w:tcPr>
          <w:p w:rsidR="00393F00" w:rsidRPr="00F97100" w:rsidRDefault="00393F00" w:rsidP="00393F00">
            <w:pPr>
              <w:pStyle w:val="FinancialsTableText"/>
              <w:rPr>
                <w:b/>
              </w:rPr>
            </w:pPr>
            <w:r w:rsidRPr="00F97100">
              <w:rPr>
                <w:b/>
              </w:rPr>
              <w:t>Total revenue from Government</w:t>
            </w:r>
          </w:p>
        </w:tc>
        <w:tc>
          <w:tcPr>
            <w:tcW w:w="1134" w:type="dxa"/>
          </w:tcPr>
          <w:p w:rsidR="00393F00" w:rsidRPr="00C97188" w:rsidRDefault="00393F00" w:rsidP="00C97188">
            <w:pPr>
              <w:pStyle w:val="FinancialsTableText"/>
              <w:jc w:val="right"/>
              <w:rPr>
                <w:b/>
              </w:rPr>
            </w:pPr>
            <w:r w:rsidRPr="00C97188">
              <w:rPr>
                <w:b/>
              </w:rPr>
              <w:t xml:space="preserve"> 25,726 </w:t>
            </w:r>
          </w:p>
        </w:tc>
        <w:tc>
          <w:tcPr>
            <w:tcW w:w="1560" w:type="dxa"/>
          </w:tcPr>
          <w:p w:rsidR="00393F00" w:rsidRPr="00393F00" w:rsidRDefault="00393F00" w:rsidP="00C97188">
            <w:pPr>
              <w:pStyle w:val="FinancialsTableText"/>
              <w:jc w:val="right"/>
            </w:pPr>
            <w:r w:rsidRPr="00393F00">
              <w:t xml:space="preserve"> 13,407 </w:t>
            </w:r>
          </w:p>
        </w:tc>
        <w:tc>
          <w:tcPr>
            <w:tcW w:w="1491" w:type="dxa"/>
            <w:shd w:val="clear" w:color="auto" w:fill="E6E7E9"/>
          </w:tcPr>
          <w:p w:rsidR="00393F00" w:rsidRPr="00393F00" w:rsidRDefault="00393F00" w:rsidP="00C97188">
            <w:pPr>
              <w:pStyle w:val="FinancialsTableText"/>
              <w:jc w:val="right"/>
            </w:pPr>
            <w:r w:rsidRPr="00393F00">
              <w:t xml:space="preserve"> – </w:t>
            </w:r>
          </w:p>
        </w:tc>
      </w:tr>
    </w:tbl>
    <w:p w:rsidR="00355D01" w:rsidRDefault="00355D01" w:rsidP="00EB5539">
      <w:pPr>
        <w:rPr>
          <w:lang w:val="en-GB"/>
        </w:rPr>
      </w:pPr>
      <w:r>
        <w:rPr>
          <w:lang w:val="en-GB"/>
        </w:rPr>
        <w:br w:type="page"/>
      </w:r>
    </w:p>
    <w:p w:rsidR="00EB5539" w:rsidRDefault="00355D01" w:rsidP="00355D01">
      <w:pPr>
        <w:pStyle w:val="FinancialsH2"/>
        <w:rPr>
          <w:lang w:val="en-GB"/>
        </w:rPr>
      </w:pPr>
      <w:bookmarkStart w:id="28" w:name="_Toc433193208"/>
      <w:r w:rsidRPr="00355D01">
        <w:rPr>
          <w:lang w:val="en-GB"/>
        </w:rPr>
        <w:lastRenderedPageBreak/>
        <w:t>Note 5: Financial assets</w:t>
      </w:r>
      <w:bookmarkEnd w:id="28"/>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Financial assets"/>
      </w:tblPr>
      <w:tblGrid>
        <w:gridCol w:w="5670"/>
        <w:gridCol w:w="1134"/>
        <w:gridCol w:w="1560"/>
        <w:gridCol w:w="1491"/>
      </w:tblGrid>
      <w:tr w:rsidR="00355D01" w:rsidRPr="00393F00" w:rsidTr="00F75652">
        <w:trPr>
          <w:cnfStyle w:val="100000000000" w:firstRow="1" w:lastRow="0" w:firstColumn="0" w:lastColumn="0" w:oddVBand="0" w:evenVBand="0" w:oddHBand="0" w:evenHBand="0" w:firstRowFirstColumn="0" w:firstRowLastColumn="0" w:lastRowFirstColumn="0" w:lastRowLastColumn="0"/>
          <w:trHeight w:val="60"/>
        </w:trPr>
        <w:tc>
          <w:tcPr>
            <w:tcW w:w="5670" w:type="dxa"/>
          </w:tcPr>
          <w:p w:rsidR="00355D01" w:rsidRPr="00393F00" w:rsidRDefault="00355D01" w:rsidP="00DE2E40">
            <w:pPr>
              <w:pStyle w:val="FinancialsTableText"/>
            </w:pPr>
          </w:p>
        </w:tc>
        <w:tc>
          <w:tcPr>
            <w:tcW w:w="1134" w:type="dxa"/>
            <w:vAlign w:val="top"/>
          </w:tcPr>
          <w:p w:rsidR="00355D01" w:rsidRPr="00393F00" w:rsidRDefault="00355D01" w:rsidP="00F75652">
            <w:pPr>
              <w:pStyle w:val="FinancialsTableText"/>
              <w:jc w:val="right"/>
            </w:pPr>
            <w:r w:rsidRPr="00393F00">
              <w:t>2015</w:t>
            </w:r>
            <w:r>
              <w:br/>
            </w:r>
            <w:r w:rsidRPr="00393F00">
              <w:rPr>
                <w:b w:val="0"/>
              </w:rPr>
              <w:t>$’000</w:t>
            </w:r>
          </w:p>
        </w:tc>
        <w:tc>
          <w:tcPr>
            <w:tcW w:w="1560" w:type="dxa"/>
            <w:vAlign w:val="top"/>
          </w:tcPr>
          <w:p w:rsidR="00355D01" w:rsidRPr="00393F00" w:rsidRDefault="00355D01" w:rsidP="00F75652">
            <w:pPr>
              <w:pStyle w:val="FinancialsTableText"/>
              <w:jc w:val="right"/>
            </w:pPr>
            <w:r>
              <w:t>2014</w:t>
            </w:r>
            <w:r>
              <w:br/>
            </w:r>
            <w:r w:rsidRPr="00393F00">
              <w:rPr>
                <w:b w:val="0"/>
              </w:rPr>
              <w:t>$’000</w:t>
            </w:r>
            <w:r w:rsidRPr="00393F00">
              <w:rPr>
                <w:b w:val="0"/>
              </w:rPr>
              <w:br/>
              <w:t>Departmental</w:t>
            </w:r>
          </w:p>
        </w:tc>
        <w:tc>
          <w:tcPr>
            <w:tcW w:w="1491" w:type="dxa"/>
            <w:shd w:val="clear" w:color="auto" w:fill="E6E7E9"/>
            <w:vAlign w:val="top"/>
          </w:tcPr>
          <w:p w:rsidR="00355D01" w:rsidRPr="00393F00" w:rsidRDefault="00355D01" w:rsidP="00F75652">
            <w:pPr>
              <w:pStyle w:val="FinancialsTableText"/>
              <w:jc w:val="right"/>
            </w:pPr>
            <w:r>
              <w:t>2014</w:t>
            </w:r>
            <w:r>
              <w:br/>
            </w:r>
            <w:r w:rsidRPr="00393F00">
              <w:rPr>
                <w:b w:val="0"/>
              </w:rPr>
              <w:t>$’000</w:t>
            </w:r>
            <w:r w:rsidRPr="00393F00">
              <w:rPr>
                <w:b w:val="0"/>
              </w:rPr>
              <w:br/>
              <w:t>Administered</w:t>
            </w:r>
          </w:p>
        </w:tc>
      </w:tr>
      <w:tr w:rsidR="00355D01" w:rsidRPr="00355D01" w:rsidTr="00006876">
        <w:trPr>
          <w:trHeight w:val="60"/>
        </w:trPr>
        <w:tc>
          <w:tcPr>
            <w:tcW w:w="8364" w:type="dxa"/>
            <w:gridSpan w:val="3"/>
          </w:tcPr>
          <w:p w:rsidR="00355D01" w:rsidRPr="00355D01" w:rsidRDefault="00355D01" w:rsidP="00355D01">
            <w:pPr>
              <w:pStyle w:val="FinancialsTableH1"/>
            </w:pPr>
            <w:r w:rsidRPr="00355D01">
              <w:t>Note 5A: Cash and cash equivalents</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
            </w:pPr>
            <w:r w:rsidRPr="00355D01">
              <w:t>Cash on hand or on deposit</w:t>
            </w:r>
          </w:p>
        </w:tc>
        <w:tc>
          <w:tcPr>
            <w:tcW w:w="1134" w:type="dxa"/>
          </w:tcPr>
          <w:p w:rsidR="00355D01" w:rsidRPr="00355D01" w:rsidRDefault="00355D01" w:rsidP="00355D01">
            <w:pPr>
              <w:pStyle w:val="FinancialsTableText"/>
              <w:jc w:val="right"/>
              <w:rPr>
                <w:b/>
              </w:rPr>
            </w:pPr>
            <w:r w:rsidRPr="00355D01">
              <w:rPr>
                <w:b/>
              </w:rPr>
              <w:t xml:space="preserve"> 4,743 </w:t>
            </w:r>
          </w:p>
        </w:tc>
        <w:tc>
          <w:tcPr>
            <w:tcW w:w="1560" w:type="dxa"/>
          </w:tcPr>
          <w:p w:rsidR="00355D01" w:rsidRPr="00355D01" w:rsidRDefault="00355D01" w:rsidP="00355D01">
            <w:pPr>
              <w:pStyle w:val="FinancialsTableText"/>
              <w:jc w:val="right"/>
            </w:pPr>
            <w:r w:rsidRPr="00355D01">
              <w:t xml:space="preserve"> 313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cash and cash equivalents</w:t>
            </w:r>
          </w:p>
        </w:tc>
        <w:tc>
          <w:tcPr>
            <w:tcW w:w="1134" w:type="dxa"/>
          </w:tcPr>
          <w:p w:rsidR="00355D01" w:rsidRPr="00355D01" w:rsidRDefault="00355D01" w:rsidP="00355D01">
            <w:pPr>
              <w:pStyle w:val="FinancialsTableText"/>
              <w:jc w:val="right"/>
              <w:rPr>
                <w:b/>
              </w:rPr>
            </w:pPr>
            <w:r w:rsidRPr="00355D01">
              <w:rPr>
                <w:b/>
              </w:rPr>
              <w:t xml:space="preserve"> 4,743 </w:t>
            </w:r>
          </w:p>
        </w:tc>
        <w:tc>
          <w:tcPr>
            <w:tcW w:w="1560" w:type="dxa"/>
          </w:tcPr>
          <w:p w:rsidR="00355D01" w:rsidRPr="00355D01" w:rsidRDefault="00355D01" w:rsidP="00355D01">
            <w:pPr>
              <w:pStyle w:val="FinancialsTableText"/>
              <w:jc w:val="right"/>
            </w:pPr>
            <w:r w:rsidRPr="00355D01">
              <w:t xml:space="preserve"> 313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8364" w:type="dxa"/>
            <w:gridSpan w:val="3"/>
          </w:tcPr>
          <w:p w:rsidR="00355D01" w:rsidRPr="00355D01" w:rsidRDefault="00355D01" w:rsidP="00355D01">
            <w:pPr>
              <w:pStyle w:val="FinancialsTableH1"/>
            </w:pPr>
            <w:r w:rsidRPr="00355D01">
              <w:t>Note 5B: Trade and other receivables</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8364" w:type="dxa"/>
            <w:gridSpan w:val="3"/>
          </w:tcPr>
          <w:p w:rsidR="00355D01" w:rsidRPr="00355D01" w:rsidRDefault="00355D01" w:rsidP="00355D01">
            <w:pPr>
              <w:pStyle w:val="FinancialsTableText"/>
            </w:pPr>
            <w:r w:rsidRPr="00355D01">
              <w:t>Services receivables in connection with</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Indented"/>
            </w:pPr>
            <w:r w:rsidRPr="00355D01">
              <w:t>External parties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35 </w:t>
            </w:r>
          </w:p>
        </w:tc>
        <w:tc>
          <w:tcPr>
            <w:tcW w:w="1491" w:type="dxa"/>
            <w:shd w:val="clear" w:color="auto" w:fill="E6E7E9"/>
          </w:tcPr>
          <w:p w:rsidR="00355D01" w:rsidRPr="00355D01" w:rsidRDefault="00355D01" w:rsidP="00355D01">
            <w:pPr>
              <w:pStyle w:val="FinancialsTableText"/>
              <w:jc w:val="right"/>
            </w:pPr>
            <w:r w:rsidRPr="00355D01">
              <w:t xml:space="preserve"> 28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services receivables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35 </w:t>
            </w:r>
          </w:p>
        </w:tc>
        <w:tc>
          <w:tcPr>
            <w:tcW w:w="1491" w:type="dxa"/>
            <w:shd w:val="clear" w:color="auto" w:fill="E6E7E9"/>
          </w:tcPr>
          <w:p w:rsidR="00355D01" w:rsidRPr="00355D01" w:rsidRDefault="00355D01" w:rsidP="00355D01">
            <w:pPr>
              <w:pStyle w:val="FinancialsTableText"/>
              <w:jc w:val="right"/>
            </w:pPr>
            <w:r w:rsidRPr="00355D01">
              <w:t xml:space="preserve"> 28 </w:t>
            </w:r>
          </w:p>
        </w:tc>
      </w:tr>
      <w:tr w:rsidR="00355D01" w:rsidRPr="00355D01" w:rsidTr="00006876">
        <w:trPr>
          <w:trHeight w:val="60"/>
        </w:trPr>
        <w:tc>
          <w:tcPr>
            <w:tcW w:w="8364" w:type="dxa"/>
            <w:gridSpan w:val="3"/>
          </w:tcPr>
          <w:p w:rsidR="00355D01" w:rsidRPr="00355D01" w:rsidRDefault="00355D01" w:rsidP="00355D01">
            <w:pPr>
              <w:pStyle w:val="FinancialsTableH2"/>
            </w:pPr>
            <w:r w:rsidRPr="00355D01">
              <w:t>Appropriations receivables</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Indented"/>
            </w:pPr>
            <w:r w:rsidRPr="00355D01">
              <w:t>Existing programs – Departmental Appropriations</w:t>
            </w:r>
          </w:p>
        </w:tc>
        <w:tc>
          <w:tcPr>
            <w:tcW w:w="1134" w:type="dxa"/>
          </w:tcPr>
          <w:p w:rsidR="00355D01" w:rsidRPr="00355D01" w:rsidRDefault="00355D01" w:rsidP="00355D01">
            <w:pPr>
              <w:pStyle w:val="FinancialsTableText"/>
              <w:jc w:val="right"/>
              <w:rPr>
                <w:b/>
              </w:rPr>
            </w:pPr>
            <w:r w:rsidRPr="00355D01">
              <w:rPr>
                <w:b/>
              </w:rPr>
              <w:t xml:space="preserve"> 18,219 </w:t>
            </w:r>
          </w:p>
        </w:tc>
        <w:tc>
          <w:tcPr>
            <w:tcW w:w="1560" w:type="dxa"/>
          </w:tcPr>
          <w:p w:rsidR="00355D01" w:rsidRPr="00355D01" w:rsidRDefault="00355D01" w:rsidP="00355D01">
            <w:pPr>
              <w:pStyle w:val="FinancialsTableText"/>
              <w:jc w:val="right"/>
            </w:pPr>
            <w:r w:rsidRPr="00355D01">
              <w:t xml:space="preserve"> 19,748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 xml:space="preserve">Existing programs – Departmental Capital Budget </w:t>
            </w:r>
          </w:p>
        </w:tc>
        <w:tc>
          <w:tcPr>
            <w:tcW w:w="1134" w:type="dxa"/>
          </w:tcPr>
          <w:p w:rsidR="00355D01" w:rsidRPr="00355D01" w:rsidRDefault="00355D01" w:rsidP="00355D01">
            <w:pPr>
              <w:pStyle w:val="FinancialsTableText"/>
              <w:jc w:val="right"/>
              <w:rPr>
                <w:b/>
              </w:rPr>
            </w:pPr>
            <w:r w:rsidRPr="00355D01">
              <w:rPr>
                <w:b/>
              </w:rPr>
              <w:t xml:space="preserve"> 200 </w:t>
            </w:r>
          </w:p>
        </w:tc>
        <w:tc>
          <w:tcPr>
            <w:tcW w:w="1560" w:type="dxa"/>
          </w:tcPr>
          <w:p w:rsidR="00355D01" w:rsidRPr="00355D01" w:rsidRDefault="00355D01" w:rsidP="00355D01">
            <w:pPr>
              <w:pStyle w:val="FinancialsTableText"/>
              <w:jc w:val="right"/>
            </w:pPr>
            <w:r w:rsidRPr="00355D01">
              <w:t xml:space="preserve"> 200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appropriations receivables</w:t>
            </w:r>
          </w:p>
        </w:tc>
        <w:tc>
          <w:tcPr>
            <w:tcW w:w="1134" w:type="dxa"/>
          </w:tcPr>
          <w:p w:rsidR="00355D01" w:rsidRPr="00355D01" w:rsidRDefault="00355D01" w:rsidP="00355D01">
            <w:pPr>
              <w:pStyle w:val="FinancialsTableText"/>
              <w:jc w:val="right"/>
              <w:rPr>
                <w:b/>
              </w:rPr>
            </w:pPr>
            <w:r w:rsidRPr="00355D01">
              <w:rPr>
                <w:b/>
              </w:rPr>
              <w:t xml:space="preserve"> 18,419 </w:t>
            </w:r>
          </w:p>
        </w:tc>
        <w:tc>
          <w:tcPr>
            <w:tcW w:w="1560" w:type="dxa"/>
          </w:tcPr>
          <w:p w:rsidR="00355D01" w:rsidRPr="00355D01" w:rsidRDefault="00355D01" w:rsidP="00355D01">
            <w:pPr>
              <w:pStyle w:val="FinancialsTableText"/>
              <w:jc w:val="right"/>
            </w:pPr>
            <w:r w:rsidRPr="00355D01">
              <w:t xml:space="preserve"> 19,948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8364" w:type="dxa"/>
            <w:gridSpan w:val="3"/>
          </w:tcPr>
          <w:p w:rsidR="00355D01" w:rsidRPr="00355D01" w:rsidRDefault="00355D01" w:rsidP="00355D01">
            <w:pPr>
              <w:pStyle w:val="FinancialsTableH2"/>
            </w:pPr>
            <w:r w:rsidRPr="00355D01">
              <w:t>Other receivables</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Indented"/>
            </w:pPr>
            <w:r w:rsidRPr="00355D01">
              <w:t xml:space="preserve">Receivable from Department of Health </w:t>
            </w:r>
          </w:p>
        </w:tc>
        <w:tc>
          <w:tcPr>
            <w:tcW w:w="1134" w:type="dxa"/>
          </w:tcPr>
          <w:p w:rsidR="00355D01" w:rsidRPr="00355D01" w:rsidRDefault="00355D01" w:rsidP="00355D01">
            <w:pPr>
              <w:pStyle w:val="FinancialsTableText"/>
              <w:jc w:val="right"/>
              <w:rPr>
                <w:b/>
              </w:rPr>
            </w:pPr>
            <w:r w:rsidRPr="00355D01">
              <w:rPr>
                <w:b/>
              </w:rPr>
              <w:t xml:space="preserve"> 380 </w:t>
            </w:r>
          </w:p>
        </w:tc>
        <w:tc>
          <w:tcPr>
            <w:tcW w:w="1560" w:type="dxa"/>
          </w:tcPr>
          <w:p w:rsidR="00355D01" w:rsidRPr="00355D01" w:rsidRDefault="00355D01" w:rsidP="00355D01">
            <w:pPr>
              <w:pStyle w:val="FinancialsTableText"/>
              <w:jc w:val="right"/>
            </w:pPr>
            <w:r w:rsidRPr="00355D01">
              <w:t xml:space="preserve"> 52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 xml:space="preserve">Receivable from other Federal Government agencies </w:t>
            </w:r>
          </w:p>
        </w:tc>
        <w:tc>
          <w:tcPr>
            <w:tcW w:w="1134" w:type="dxa"/>
          </w:tcPr>
          <w:p w:rsidR="00355D01" w:rsidRPr="00355D01" w:rsidRDefault="00355D01" w:rsidP="00355D01">
            <w:pPr>
              <w:pStyle w:val="FinancialsTableText"/>
              <w:jc w:val="right"/>
              <w:rPr>
                <w:b/>
              </w:rPr>
            </w:pPr>
            <w:r w:rsidRPr="00355D01">
              <w:rPr>
                <w:b/>
              </w:rPr>
              <w:t xml:space="preserve"> 168 </w:t>
            </w:r>
          </w:p>
        </w:tc>
        <w:tc>
          <w:tcPr>
            <w:tcW w:w="1560" w:type="dxa"/>
          </w:tcPr>
          <w:p w:rsidR="00355D01" w:rsidRPr="00355D01" w:rsidRDefault="00355D01" w:rsidP="00355D01">
            <w:pPr>
              <w:pStyle w:val="FinancialsTableText"/>
              <w:jc w:val="right"/>
            </w:pPr>
            <w:r w:rsidRPr="00355D01">
              <w:t xml:space="preserve"> 3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 xml:space="preserve">GST receivable from the Australian Taxation Office </w:t>
            </w:r>
          </w:p>
        </w:tc>
        <w:tc>
          <w:tcPr>
            <w:tcW w:w="1134" w:type="dxa"/>
          </w:tcPr>
          <w:p w:rsidR="00355D01" w:rsidRPr="00355D01" w:rsidRDefault="00355D01" w:rsidP="00355D01">
            <w:pPr>
              <w:pStyle w:val="FinancialsTableText"/>
              <w:jc w:val="right"/>
              <w:rPr>
                <w:b/>
              </w:rPr>
            </w:pPr>
            <w:r w:rsidRPr="00355D01">
              <w:rPr>
                <w:b/>
              </w:rPr>
              <w:t xml:space="preserve"> 306 </w:t>
            </w:r>
          </w:p>
        </w:tc>
        <w:tc>
          <w:tcPr>
            <w:tcW w:w="1560" w:type="dxa"/>
          </w:tcPr>
          <w:p w:rsidR="00355D01" w:rsidRPr="00355D01" w:rsidRDefault="00355D01" w:rsidP="00355D01">
            <w:pPr>
              <w:pStyle w:val="FinancialsTableText"/>
              <w:jc w:val="right"/>
            </w:pPr>
            <w:r w:rsidRPr="00355D01">
              <w:t xml:space="preserve"> 50 </w:t>
            </w:r>
          </w:p>
        </w:tc>
        <w:tc>
          <w:tcPr>
            <w:tcW w:w="1491" w:type="dxa"/>
            <w:shd w:val="clear" w:color="auto" w:fill="E6E7E9"/>
          </w:tcPr>
          <w:p w:rsidR="00355D01" w:rsidRPr="00355D01" w:rsidRDefault="00355D01" w:rsidP="00355D01">
            <w:pPr>
              <w:pStyle w:val="FinancialsTableText"/>
              <w:jc w:val="right"/>
            </w:pPr>
            <w:r w:rsidRPr="00355D01">
              <w:t xml:space="preserve"> 246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Other</w:t>
            </w:r>
          </w:p>
        </w:tc>
        <w:tc>
          <w:tcPr>
            <w:tcW w:w="1134" w:type="dxa"/>
          </w:tcPr>
          <w:p w:rsidR="00355D01" w:rsidRPr="00355D01" w:rsidRDefault="00355D01" w:rsidP="00355D01">
            <w:pPr>
              <w:pStyle w:val="FinancialsTableText"/>
              <w:jc w:val="right"/>
              <w:rPr>
                <w:b/>
              </w:rPr>
            </w:pPr>
            <w:r w:rsidRPr="00355D01">
              <w:rPr>
                <w:b/>
              </w:rPr>
              <w:t xml:space="preserve"> 833 </w:t>
            </w:r>
          </w:p>
        </w:tc>
        <w:tc>
          <w:tcPr>
            <w:tcW w:w="1560" w:type="dxa"/>
          </w:tcPr>
          <w:p w:rsidR="00355D01" w:rsidRPr="00355D01" w:rsidRDefault="00355D01" w:rsidP="00355D01">
            <w:pPr>
              <w:pStyle w:val="FinancialsTableText"/>
              <w:jc w:val="right"/>
            </w:pPr>
            <w:r w:rsidRPr="00355D01">
              <w:t xml:space="preserve"> 37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other receivables</w:t>
            </w:r>
          </w:p>
        </w:tc>
        <w:tc>
          <w:tcPr>
            <w:tcW w:w="1134" w:type="dxa"/>
          </w:tcPr>
          <w:p w:rsidR="00355D01" w:rsidRPr="00355D01" w:rsidRDefault="00355D01" w:rsidP="00355D01">
            <w:pPr>
              <w:pStyle w:val="FinancialsTableText"/>
              <w:jc w:val="right"/>
              <w:rPr>
                <w:b/>
              </w:rPr>
            </w:pPr>
            <w:r w:rsidRPr="00355D01">
              <w:rPr>
                <w:b/>
              </w:rPr>
              <w:t xml:space="preserve"> 1,687 </w:t>
            </w:r>
          </w:p>
        </w:tc>
        <w:tc>
          <w:tcPr>
            <w:tcW w:w="1560" w:type="dxa"/>
          </w:tcPr>
          <w:p w:rsidR="00355D01" w:rsidRPr="00355D01" w:rsidRDefault="00355D01" w:rsidP="00355D01">
            <w:pPr>
              <w:pStyle w:val="FinancialsTableText"/>
              <w:jc w:val="right"/>
            </w:pPr>
            <w:r w:rsidRPr="00355D01">
              <w:t xml:space="preserve"> 142 </w:t>
            </w:r>
          </w:p>
        </w:tc>
        <w:tc>
          <w:tcPr>
            <w:tcW w:w="1491" w:type="dxa"/>
            <w:shd w:val="clear" w:color="auto" w:fill="E6E7E9"/>
          </w:tcPr>
          <w:p w:rsidR="00355D01" w:rsidRPr="00355D01" w:rsidRDefault="00355D01" w:rsidP="00355D01">
            <w:pPr>
              <w:pStyle w:val="FinancialsTableText"/>
              <w:jc w:val="right"/>
            </w:pPr>
            <w:r w:rsidRPr="00355D01">
              <w:t xml:space="preserve"> 246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trade and other receivables (gross)</w:t>
            </w:r>
          </w:p>
        </w:tc>
        <w:tc>
          <w:tcPr>
            <w:tcW w:w="1134" w:type="dxa"/>
          </w:tcPr>
          <w:p w:rsidR="00355D01" w:rsidRPr="00355D01" w:rsidRDefault="00355D01" w:rsidP="00355D01">
            <w:pPr>
              <w:pStyle w:val="FinancialsTableText"/>
              <w:jc w:val="right"/>
              <w:rPr>
                <w:b/>
              </w:rPr>
            </w:pPr>
            <w:r w:rsidRPr="00355D01">
              <w:rPr>
                <w:b/>
              </w:rPr>
              <w:t xml:space="preserve"> 20,106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274 </w:t>
            </w:r>
          </w:p>
        </w:tc>
      </w:tr>
      <w:tr w:rsidR="00355D01" w:rsidRPr="00355D01" w:rsidTr="00006876">
        <w:trPr>
          <w:trHeight w:val="60"/>
        </w:trPr>
        <w:tc>
          <w:tcPr>
            <w:tcW w:w="8364" w:type="dxa"/>
            <w:gridSpan w:val="3"/>
          </w:tcPr>
          <w:p w:rsidR="00355D01" w:rsidRPr="00355D01" w:rsidRDefault="00355D01" w:rsidP="00355D01">
            <w:pPr>
              <w:pStyle w:val="FinancialsTableH2"/>
            </w:pPr>
            <w:r w:rsidRPr="00355D01">
              <w:t>Less impairment allowance account:</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Indented"/>
            </w:pPr>
            <w:r w:rsidRPr="00355D01">
              <w:t>Services</w:t>
            </w:r>
          </w:p>
        </w:tc>
        <w:tc>
          <w:tcPr>
            <w:tcW w:w="1134" w:type="dxa"/>
          </w:tcPr>
          <w:p w:rsidR="00355D01" w:rsidRPr="00355D01" w:rsidRDefault="00355D01" w:rsidP="00355D01">
            <w:pPr>
              <w:pStyle w:val="FinancialsTableText"/>
              <w:jc w:val="right"/>
              <w:rPr>
                <w:b/>
              </w:rPr>
            </w:pPr>
            <w:r w:rsidRPr="00355D01">
              <w:rPr>
                <w:b/>
              </w:rPr>
              <w:t xml:space="preserve"> (242)</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impairment allowance account</w:t>
            </w:r>
          </w:p>
        </w:tc>
        <w:tc>
          <w:tcPr>
            <w:tcW w:w="1134" w:type="dxa"/>
          </w:tcPr>
          <w:p w:rsidR="00355D01" w:rsidRPr="00355D01" w:rsidRDefault="00355D01" w:rsidP="00355D01">
            <w:pPr>
              <w:pStyle w:val="FinancialsTableText"/>
              <w:jc w:val="right"/>
              <w:rPr>
                <w:b/>
              </w:rPr>
            </w:pPr>
            <w:r w:rsidRPr="00355D01">
              <w:rPr>
                <w:b/>
              </w:rPr>
              <w:t xml:space="preserve"> (242)</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 xml:space="preserve">Total trade and other receivables </w:t>
            </w:r>
          </w:p>
        </w:tc>
        <w:tc>
          <w:tcPr>
            <w:tcW w:w="1134" w:type="dxa"/>
          </w:tcPr>
          <w:p w:rsidR="00355D01" w:rsidRPr="00355D01" w:rsidRDefault="00355D01" w:rsidP="00355D01">
            <w:pPr>
              <w:pStyle w:val="FinancialsTableText"/>
              <w:jc w:val="right"/>
              <w:rPr>
                <w:b/>
              </w:rPr>
            </w:pPr>
            <w:r w:rsidRPr="00355D01">
              <w:rPr>
                <w:b/>
              </w:rPr>
              <w:t xml:space="preserve"> 19,864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8364" w:type="dxa"/>
            <w:gridSpan w:val="3"/>
          </w:tcPr>
          <w:p w:rsidR="00355D01" w:rsidRPr="00355D01" w:rsidRDefault="00355D01" w:rsidP="00355D01">
            <w:pPr>
              <w:pStyle w:val="FinancialsTableH2"/>
            </w:pPr>
            <w:r w:rsidRPr="00355D01">
              <w:t>Trade and other receivables (net) are expected to be recovered</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Indented"/>
            </w:pPr>
            <w:r w:rsidRPr="00355D01">
              <w:t>No more than 12 months</w:t>
            </w:r>
          </w:p>
        </w:tc>
        <w:tc>
          <w:tcPr>
            <w:tcW w:w="1134" w:type="dxa"/>
          </w:tcPr>
          <w:p w:rsidR="00355D01" w:rsidRPr="00355D01" w:rsidRDefault="00355D01" w:rsidP="00355D01">
            <w:pPr>
              <w:pStyle w:val="FinancialsTableText"/>
              <w:jc w:val="right"/>
              <w:rPr>
                <w:b/>
              </w:rPr>
            </w:pPr>
            <w:r w:rsidRPr="00355D01">
              <w:rPr>
                <w:b/>
              </w:rPr>
              <w:t xml:space="preserve"> 19,864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274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More than 12 months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trade and other receivables (net)</w:t>
            </w:r>
          </w:p>
        </w:tc>
        <w:tc>
          <w:tcPr>
            <w:tcW w:w="1134" w:type="dxa"/>
          </w:tcPr>
          <w:p w:rsidR="00355D01" w:rsidRPr="00355D01" w:rsidRDefault="00355D01" w:rsidP="00355D01">
            <w:pPr>
              <w:pStyle w:val="FinancialsTableText"/>
              <w:jc w:val="right"/>
              <w:rPr>
                <w:b/>
              </w:rPr>
            </w:pPr>
            <w:r w:rsidRPr="00355D01">
              <w:rPr>
                <w:b/>
              </w:rPr>
              <w:t xml:space="preserve"> 19,864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274 </w:t>
            </w:r>
          </w:p>
        </w:tc>
      </w:tr>
      <w:tr w:rsidR="00355D01" w:rsidRPr="00355D01" w:rsidTr="00006876">
        <w:trPr>
          <w:trHeight w:val="60"/>
        </w:trPr>
        <w:tc>
          <w:tcPr>
            <w:tcW w:w="8364" w:type="dxa"/>
            <w:gridSpan w:val="3"/>
          </w:tcPr>
          <w:p w:rsidR="00355D01" w:rsidRPr="00355D01" w:rsidRDefault="00355D01" w:rsidP="00355D01">
            <w:pPr>
              <w:pStyle w:val="FinancialsTableH2"/>
            </w:pPr>
            <w:r w:rsidRPr="00355D01">
              <w:t>Trade and other receivables (gross) aged as follows</w:t>
            </w:r>
          </w:p>
        </w:tc>
        <w:tc>
          <w:tcPr>
            <w:tcW w:w="1491" w:type="dxa"/>
            <w:shd w:val="clear" w:color="auto" w:fill="E6E7E9"/>
          </w:tcPr>
          <w:p w:rsidR="00355D01" w:rsidRPr="00355D01" w:rsidRDefault="00355D01" w:rsidP="00355D01">
            <w:pPr>
              <w:pStyle w:val="FinancialsTableText"/>
              <w:jc w:val="right"/>
            </w:pPr>
          </w:p>
        </w:tc>
      </w:tr>
      <w:tr w:rsidR="00355D01" w:rsidRPr="00355D01" w:rsidTr="00006876">
        <w:trPr>
          <w:trHeight w:val="60"/>
        </w:trPr>
        <w:tc>
          <w:tcPr>
            <w:tcW w:w="5670" w:type="dxa"/>
          </w:tcPr>
          <w:p w:rsidR="00355D01" w:rsidRPr="00355D01" w:rsidRDefault="00355D01" w:rsidP="00355D01">
            <w:pPr>
              <w:pStyle w:val="FinancialsTableText"/>
            </w:pPr>
            <w:r w:rsidRPr="00355D01">
              <w:t>Not overdue</w:t>
            </w:r>
          </w:p>
        </w:tc>
        <w:tc>
          <w:tcPr>
            <w:tcW w:w="1134" w:type="dxa"/>
          </w:tcPr>
          <w:p w:rsidR="00355D01" w:rsidRPr="00355D01" w:rsidRDefault="00355D01" w:rsidP="00355D01">
            <w:pPr>
              <w:pStyle w:val="FinancialsTableText"/>
              <w:jc w:val="right"/>
              <w:rPr>
                <w:b/>
              </w:rPr>
            </w:pPr>
            <w:r w:rsidRPr="00355D01">
              <w:rPr>
                <w:b/>
              </w:rPr>
              <w:t xml:space="preserve"> 19,864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274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30 to 60 days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61 to 90 days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Indented"/>
            </w:pPr>
            <w:r w:rsidRPr="00355D01">
              <w:t>More than 90 days</w:t>
            </w:r>
          </w:p>
        </w:tc>
        <w:tc>
          <w:tcPr>
            <w:tcW w:w="1134" w:type="dxa"/>
          </w:tcPr>
          <w:p w:rsidR="00355D01" w:rsidRPr="00355D01" w:rsidRDefault="00355D01" w:rsidP="00355D01">
            <w:pPr>
              <w:pStyle w:val="FinancialsTableText"/>
              <w:jc w:val="right"/>
              <w:rPr>
                <w:b/>
              </w:rPr>
            </w:pPr>
            <w:r w:rsidRPr="00355D01">
              <w:rPr>
                <w:b/>
              </w:rPr>
              <w:t xml:space="preserve"> – </w:t>
            </w:r>
          </w:p>
        </w:tc>
        <w:tc>
          <w:tcPr>
            <w:tcW w:w="1560" w:type="dxa"/>
          </w:tcPr>
          <w:p w:rsidR="00355D01" w:rsidRPr="00355D01" w:rsidRDefault="00355D01" w:rsidP="00355D01">
            <w:pPr>
              <w:pStyle w:val="FinancialsTableText"/>
              <w:jc w:val="right"/>
            </w:pPr>
            <w:r w:rsidRPr="00355D01">
              <w:t xml:space="preserve"> – </w:t>
            </w:r>
          </w:p>
        </w:tc>
        <w:tc>
          <w:tcPr>
            <w:tcW w:w="1491" w:type="dxa"/>
            <w:shd w:val="clear" w:color="auto" w:fill="E6E7E9"/>
          </w:tcPr>
          <w:p w:rsidR="00355D01" w:rsidRPr="00355D01" w:rsidRDefault="00355D01" w:rsidP="00355D01">
            <w:pPr>
              <w:pStyle w:val="FinancialsTableText"/>
              <w:jc w:val="right"/>
            </w:pPr>
            <w:r w:rsidRPr="00355D01">
              <w:t xml:space="preserve"> – </w:t>
            </w:r>
          </w:p>
        </w:tc>
      </w:tr>
      <w:tr w:rsidR="00355D01" w:rsidRPr="00355D01" w:rsidTr="00006876">
        <w:trPr>
          <w:trHeight w:val="60"/>
        </w:trPr>
        <w:tc>
          <w:tcPr>
            <w:tcW w:w="5670" w:type="dxa"/>
          </w:tcPr>
          <w:p w:rsidR="00355D01" w:rsidRPr="00355D01" w:rsidRDefault="00355D01" w:rsidP="00355D01">
            <w:pPr>
              <w:pStyle w:val="FinancialsTableText"/>
              <w:rPr>
                <w:b/>
              </w:rPr>
            </w:pPr>
            <w:r w:rsidRPr="00355D01">
              <w:rPr>
                <w:b/>
              </w:rPr>
              <w:t>Total trade and other receivables (gross)</w:t>
            </w:r>
          </w:p>
        </w:tc>
        <w:tc>
          <w:tcPr>
            <w:tcW w:w="1134" w:type="dxa"/>
          </w:tcPr>
          <w:p w:rsidR="00355D01" w:rsidRPr="00355D01" w:rsidRDefault="00355D01" w:rsidP="00355D01">
            <w:pPr>
              <w:pStyle w:val="FinancialsTableText"/>
              <w:jc w:val="right"/>
              <w:rPr>
                <w:b/>
              </w:rPr>
            </w:pPr>
            <w:r w:rsidRPr="00355D01">
              <w:rPr>
                <w:b/>
              </w:rPr>
              <w:t xml:space="preserve"> 19,864 </w:t>
            </w:r>
          </w:p>
        </w:tc>
        <w:tc>
          <w:tcPr>
            <w:tcW w:w="1560" w:type="dxa"/>
          </w:tcPr>
          <w:p w:rsidR="00355D01" w:rsidRPr="00355D01" w:rsidRDefault="00355D01" w:rsidP="00355D01">
            <w:pPr>
              <w:pStyle w:val="FinancialsTableText"/>
              <w:jc w:val="right"/>
            </w:pPr>
            <w:r w:rsidRPr="00355D01">
              <w:t xml:space="preserve"> 20,125 </w:t>
            </w:r>
          </w:p>
        </w:tc>
        <w:tc>
          <w:tcPr>
            <w:tcW w:w="1491" w:type="dxa"/>
            <w:shd w:val="clear" w:color="auto" w:fill="E6E7E9"/>
          </w:tcPr>
          <w:p w:rsidR="00355D01" w:rsidRPr="00355D01" w:rsidRDefault="00355D01" w:rsidP="00355D01">
            <w:pPr>
              <w:pStyle w:val="FinancialsTableText"/>
              <w:jc w:val="right"/>
            </w:pPr>
            <w:r w:rsidRPr="00355D01">
              <w:t xml:space="preserve"> 274</w:t>
            </w:r>
          </w:p>
        </w:tc>
      </w:tr>
    </w:tbl>
    <w:p w:rsidR="00DE2E40" w:rsidRDefault="00DE2E40" w:rsidP="00EB5539">
      <w:pPr>
        <w:rPr>
          <w:lang w:val="en-GB"/>
        </w:rPr>
      </w:pPr>
      <w:r>
        <w:rPr>
          <w:lang w:val="en-GB"/>
        </w:rPr>
        <w:br w:type="page"/>
      </w:r>
    </w:p>
    <w:p w:rsidR="00355D01" w:rsidRDefault="00DE2E40" w:rsidP="00DE2E40">
      <w:pPr>
        <w:pStyle w:val="FinancialsH2"/>
        <w:rPr>
          <w:lang w:val="en-GB"/>
        </w:rPr>
      </w:pPr>
      <w:bookmarkStart w:id="29" w:name="_Toc433193209"/>
      <w:r w:rsidRPr="00DE2E40">
        <w:rPr>
          <w:lang w:val="en-GB"/>
        </w:rPr>
        <w:lastRenderedPageBreak/>
        <w:t>Note 6: Non-financial assets</w:t>
      </w:r>
      <w:bookmarkEnd w:id="29"/>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Non-financial assets"/>
      </w:tblPr>
      <w:tblGrid>
        <w:gridCol w:w="6804"/>
        <w:gridCol w:w="1560"/>
        <w:gridCol w:w="1491"/>
      </w:tblGrid>
      <w:tr w:rsidR="00DE2E40" w:rsidRPr="00DE2E40" w:rsidTr="00AE0120">
        <w:trPr>
          <w:cnfStyle w:val="100000000000" w:firstRow="1" w:lastRow="0" w:firstColumn="0" w:lastColumn="0" w:oddVBand="0" w:evenVBand="0" w:oddHBand="0" w:evenHBand="0" w:firstRowFirstColumn="0" w:firstRowLastColumn="0" w:lastRowFirstColumn="0" w:lastRowLastColumn="0"/>
          <w:trHeight w:val="60"/>
        </w:trPr>
        <w:tc>
          <w:tcPr>
            <w:tcW w:w="6804" w:type="dxa"/>
          </w:tcPr>
          <w:p w:rsidR="00DE2E40" w:rsidRPr="00DE2E40" w:rsidRDefault="00DE2E40" w:rsidP="00DE2E40">
            <w:pPr>
              <w:pStyle w:val="FinancialsTableText"/>
            </w:pPr>
          </w:p>
        </w:tc>
        <w:tc>
          <w:tcPr>
            <w:tcW w:w="1560" w:type="dxa"/>
          </w:tcPr>
          <w:p w:rsidR="00DE2E40" w:rsidRPr="00DE2E40" w:rsidRDefault="00DE2E40" w:rsidP="00DE2E40">
            <w:pPr>
              <w:pStyle w:val="FinancialsTableText"/>
              <w:jc w:val="right"/>
            </w:pPr>
            <w:r w:rsidRPr="00DE2E40">
              <w:t>2015</w:t>
            </w:r>
            <w:r>
              <w:br/>
            </w:r>
            <w:r w:rsidRPr="00DE2E40">
              <w:rPr>
                <w:b w:val="0"/>
              </w:rPr>
              <w:t>$’000</w:t>
            </w:r>
          </w:p>
        </w:tc>
        <w:tc>
          <w:tcPr>
            <w:tcW w:w="1491" w:type="dxa"/>
          </w:tcPr>
          <w:p w:rsidR="00DE2E40" w:rsidRPr="00DE2E40" w:rsidRDefault="00DE2E40" w:rsidP="00DE2E40">
            <w:pPr>
              <w:pStyle w:val="FinancialsTableText"/>
              <w:jc w:val="right"/>
            </w:pPr>
            <w:r>
              <w:t>2014</w:t>
            </w:r>
            <w:r>
              <w:br/>
            </w:r>
            <w:r w:rsidRPr="00DE2E40">
              <w:rPr>
                <w:b w:val="0"/>
              </w:rPr>
              <w:t>$’000</w:t>
            </w:r>
          </w:p>
        </w:tc>
      </w:tr>
      <w:tr w:rsidR="00DE2E40" w:rsidRPr="00DE2E40" w:rsidTr="00AE0120">
        <w:trPr>
          <w:trHeight w:val="60"/>
        </w:trPr>
        <w:tc>
          <w:tcPr>
            <w:tcW w:w="9855" w:type="dxa"/>
            <w:gridSpan w:val="3"/>
          </w:tcPr>
          <w:p w:rsidR="00DE2E40" w:rsidRPr="00DE2E40" w:rsidRDefault="00DE2E40" w:rsidP="00DE2E40">
            <w:pPr>
              <w:pStyle w:val="FinancialsTableH1"/>
            </w:pPr>
            <w:r w:rsidRPr="00DE2E40">
              <w:t>Note 6A: Land and buildings</w:t>
            </w:r>
          </w:p>
        </w:tc>
      </w:tr>
      <w:tr w:rsidR="00DE2E40" w:rsidRPr="00DE2E40" w:rsidTr="00AE0120">
        <w:trPr>
          <w:trHeight w:val="60"/>
        </w:trPr>
        <w:tc>
          <w:tcPr>
            <w:tcW w:w="9855" w:type="dxa"/>
            <w:gridSpan w:val="3"/>
          </w:tcPr>
          <w:p w:rsidR="00DE2E40" w:rsidRPr="00DE2E40" w:rsidRDefault="00DE2E40" w:rsidP="00DE2E40">
            <w:pPr>
              <w:pStyle w:val="FinancialsTableH2"/>
            </w:pPr>
            <w:r w:rsidRPr="00DE2E40">
              <w:t>Leasehold improvements</w:t>
            </w:r>
          </w:p>
        </w:tc>
      </w:tr>
      <w:tr w:rsidR="00DE2E40" w:rsidRPr="00DE2E40" w:rsidTr="00AE0120">
        <w:trPr>
          <w:trHeight w:val="60"/>
        </w:trPr>
        <w:tc>
          <w:tcPr>
            <w:tcW w:w="6804" w:type="dxa"/>
          </w:tcPr>
          <w:p w:rsidR="00DE2E40" w:rsidRPr="00DE2E40" w:rsidRDefault="00DE2E40" w:rsidP="00DE2E40">
            <w:pPr>
              <w:pStyle w:val="FinancialsTableTextIndented"/>
            </w:pPr>
            <w:r w:rsidRPr="00DE2E40">
              <w:t xml:space="preserve">Fair value </w:t>
            </w:r>
          </w:p>
        </w:tc>
        <w:tc>
          <w:tcPr>
            <w:tcW w:w="1560" w:type="dxa"/>
          </w:tcPr>
          <w:p w:rsidR="00DE2E40" w:rsidRPr="00DE2E40" w:rsidRDefault="00DE2E40" w:rsidP="00DE2E40">
            <w:pPr>
              <w:pStyle w:val="FinancialsTableText"/>
              <w:jc w:val="right"/>
              <w:rPr>
                <w:b/>
              </w:rPr>
            </w:pPr>
            <w:r w:rsidRPr="00DE2E40">
              <w:rPr>
                <w:b/>
              </w:rPr>
              <w:t xml:space="preserve"> 796 </w:t>
            </w:r>
          </w:p>
        </w:tc>
        <w:tc>
          <w:tcPr>
            <w:tcW w:w="1491" w:type="dxa"/>
          </w:tcPr>
          <w:p w:rsidR="00DE2E40" w:rsidRPr="00DE2E40" w:rsidRDefault="00DE2E40" w:rsidP="00DE2E40">
            <w:pPr>
              <w:pStyle w:val="FinancialsTableText"/>
              <w:jc w:val="right"/>
            </w:pPr>
            <w:r w:rsidRPr="00DE2E40">
              <w:t xml:space="preserve"> 796 </w:t>
            </w:r>
          </w:p>
        </w:tc>
      </w:tr>
      <w:tr w:rsidR="00DE2E40" w:rsidRPr="00DE2E40" w:rsidTr="00AE0120">
        <w:trPr>
          <w:trHeight w:val="60"/>
        </w:trPr>
        <w:tc>
          <w:tcPr>
            <w:tcW w:w="6804" w:type="dxa"/>
          </w:tcPr>
          <w:p w:rsidR="00DE2E40" w:rsidRPr="00DE2E40" w:rsidRDefault="00DE2E40" w:rsidP="00DE2E40">
            <w:pPr>
              <w:pStyle w:val="FinancialsTableTextIndented"/>
            </w:pPr>
            <w:r w:rsidRPr="00DE2E40">
              <w:t xml:space="preserve">Accumulated depreciation </w:t>
            </w:r>
          </w:p>
        </w:tc>
        <w:tc>
          <w:tcPr>
            <w:tcW w:w="1560" w:type="dxa"/>
          </w:tcPr>
          <w:p w:rsidR="00DE2E40" w:rsidRPr="00DE2E40" w:rsidRDefault="00DE2E40" w:rsidP="00DE2E40">
            <w:pPr>
              <w:pStyle w:val="FinancialsTableText"/>
              <w:jc w:val="right"/>
              <w:rPr>
                <w:b/>
              </w:rPr>
            </w:pPr>
            <w:r w:rsidRPr="00DE2E40">
              <w:rPr>
                <w:b/>
              </w:rPr>
              <w:t xml:space="preserve"> (200)</w:t>
            </w:r>
          </w:p>
        </w:tc>
        <w:tc>
          <w:tcPr>
            <w:tcW w:w="1491" w:type="dxa"/>
          </w:tcPr>
          <w:p w:rsidR="00DE2E40" w:rsidRPr="00DE2E40" w:rsidRDefault="00DE2E40" w:rsidP="00DE2E40">
            <w:pPr>
              <w:pStyle w:val="FinancialsTableText"/>
              <w:jc w:val="right"/>
            </w:pPr>
            <w:r w:rsidRPr="00DE2E40">
              <w:t xml:space="preserve"> – </w:t>
            </w:r>
          </w:p>
        </w:tc>
      </w:tr>
      <w:tr w:rsidR="00DE2E40" w:rsidRPr="00DE2E40" w:rsidTr="00AE0120">
        <w:trPr>
          <w:trHeight w:val="60"/>
        </w:trPr>
        <w:tc>
          <w:tcPr>
            <w:tcW w:w="6804" w:type="dxa"/>
          </w:tcPr>
          <w:p w:rsidR="00DE2E40" w:rsidRPr="00DE2E40" w:rsidRDefault="00DE2E40" w:rsidP="00DE2E40">
            <w:pPr>
              <w:pStyle w:val="FinancialsTableText"/>
              <w:rPr>
                <w:b/>
              </w:rPr>
            </w:pPr>
            <w:r w:rsidRPr="00DE2E40">
              <w:rPr>
                <w:b/>
              </w:rPr>
              <w:t xml:space="preserve">Total land and buildings </w:t>
            </w:r>
          </w:p>
        </w:tc>
        <w:tc>
          <w:tcPr>
            <w:tcW w:w="1560" w:type="dxa"/>
          </w:tcPr>
          <w:p w:rsidR="00DE2E40" w:rsidRPr="00DE2E40" w:rsidRDefault="00DE2E40" w:rsidP="00DE2E40">
            <w:pPr>
              <w:pStyle w:val="FinancialsTableText"/>
              <w:jc w:val="right"/>
              <w:rPr>
                <w:b/>
              </w:rPr>
            </w:pPr>
            <w:r w:rsidRPr="00DE2E40">
              <w:rPr>
                <w:b/>
              </w:rPr>
              <w:t xml:space="preserve"> 596 </w:t>
            </w:r>
          </w:p>
        </w:tc>
        <w:tc>
          <w:tcPr>
            <w:tcW w:w="1491" w:type="dxa"/>
          </w:tcPr>
          <w:p w:rsidR="00DE2E40" w:rsidRPr="00DE2E40" w:rsidRDefault="00DE2E40" w:rsidP="00DE2E40">
            <w:pPr>
              <w:pStyle w:val="FinancialsTableText"/>
              <w:jc w:val="right"/>
            </w:pPr>
            <w:r w:rsidRPr="00DE2E40">
              <w:t xml:space="preserve"> 796 </w:t>
            </w:r>
          </w:p>
        </w:tc>
      </w:tr>
      <w:tr w:rsidR="00DE2E40" w:rsidRPr="00DE2E40" w:rsidTr="00AE0120">
        <w:trPr>
          <w:trHeight w:val="60"/>
        </w:trPr>
        <w:tc>
          <w:tcPr>
            <w:tcW w:w="9855" w:type="dxa"/>
            <w:gridSpan w:val="3"/>
          </w:tcPr>
          <w:p w:rsidR="00DE2E40" w:rsidRPr="00DE2E40" w:rsidRDefault="00DE2E40" w:rsidP="00AE0120">
            <w:pPr>
              <w:pStyle w:val="SourceNotesText"/>
            </w:pPr>
            <w:r w:rsidRPr="00DE2E40">
              <w:t xml:space="preserve">No indicators of impairment were found for leasehold improvements. </w:t>
            </w:r>
            <w:r w:rsidR="00AE0120">
              <w:br/>
            </w:r>
            <w:r w:rsidRPr="00DE2E40">
              <w:t xml:space="preserve">No leasehold improvements are expected to be sold or disposed of within the next 12 months. </w:t>
            </w:r>
          </w:p>
        </w:tc>
      </w:tr>
      <w:tr w:rsidR="00DE2E40" w:rsidRPr="00DE2E40" w:rsidTr="00AE0120">
        <w:trPr>
          <w:trHeight w:val="60"/>
        </w:trPr>
        <w:tc>
          <w:tcPr>
            <w:tcW w:w="9855" w:type="dxa"/>
            <w:gridSpan w:val="3"/>
          </w:tcPr>
          <w:p w:rsidR="00DE2E40" w:rsidRPr="00DE2E40" w:rsidRDefault="00DE2E40" w:rsidP="00AE0120">
            <w:pPr>
              <w:pStyle w:val="FinancialsTableH1"/>
            </w:pPr>
            <w:r w:rsidRPr="00DE2E40">
              <w:t xml:space="preserve">Note 6B: Property, plant and equipment </w:t>
            </w:r>
          </w:p>
        </w:tc>
      </w:tr>
      <w:tr w:rsidR="00DE2E40" w:rsidRPr="00DE2E40" w:rsidTr="00AE0120">
        <w:trPr>
          <w:trHeight w:val="60"/>
        </w:trPr>
        <w:tc>
          <w:tcPr>
            <w:tcW w:w="9855" w:type="dxa"/>
            <w:gridSpan w:val="3"/>
          </w:tcPr>
          <w:p w:rsidR="00DE2E40" w:rsidRPr="00DE2E40" w:rsidRDefault="00DE2E40" w:rsidP="00AE0120">
            <w:pPr>
              <w:pStyle w:val="FinancialsTableH2"/>
            </w:pPr>
            <w:r w:rsidRPr="00DE2E40">
              <w:t xml:space="preserve">Other property, plant and equipment </w:t>
            </w:r>
          </w:p>
        </w:tc>
      </w:tr>
      <w:tr w:rsidR="00DE2E40" w:rsidRPr="00DE2E40" w:rsidTr="00AE0120">
        <w:trPr>
          <w:trHeight w:val="60"/>
        </w:trPr>
        <w:tc>
          <w:tcPr>
            <w:tcW w:w="6804" w:type="dxa"/>
          </w:tcPr>
          <w:p w:rsidR="00DE2E40" w:rsidRPr="00DE2E40" w:rsidRDefault="00DE2E40" w:rsidP="00AE0120">
            <w:pPr>
              <w:pStyle w:val="FinancialsTableTextIndented"/>
            </w:pPr>
            <w:r w:rsidRPr="00DE2E40">
              <w:t xml:space="preserve">Fair value </w:t>
            </w:r>
          </w:p>
        </w:tc>
        <w:tc>
          <w:tcPr>
            <w:tcW w:w="1560" w:type="dxa"/>
          </w:tcPr>
          <w:p w:rsidR="00DE2E40" w:rsidRPr="00DE2E40" w:rsidRDefault="00DE2E40" w:rsidP="00DE2E40">
            <w:pPr>
              <w:pStyle w:val="FinancialsTableText"/>
              <w:jc w:val="right"/>
              <w:rPr>
                <w:b/>
              </w:rPr>
            </w:pPr>
            <w:r w:rsidRPr="00DE2E40">
              <w:rPr>
                <w:b/>
              </w:rPr>
              <w:t xml:space="preserve"> 438 </w:t>
            </w:r>
          </w:p>
        </w:tc>
        <w:tc>
          <w:tcPr>
            <w:tcW w:w="1491" w:type="dxa"/>
          </w:tcPr>
          <w:p w:rsidR="00DE2E40" w:rsidRPr="00DE2E40" w:rsidRDefault="00DE2E40" w:rsidP="00DE2E40">
            <w:pPr>
              <w:pStyle w:val="FinancialsTableText"/>
              <w:jc w:val="right"/>
            </w:pPr>
            <w:r w:rsidRPr="00DE2E40">
              <w:t xml:space="preserve"> 264 </w:t>
            </w:r>
          </w:p>
        </w:tc>
      </w:tr>
      <w:tr w:rsidR="00DE2E40" w:rsidRPr="00DE2E40" w:rsidTr="00AE0120">
        <w:trPr>
          <w:trHeight w:val="60"/>
        </w:trPr>
        <w:tc>
          <w:tcPr>
            <w:tcW w:w="6804" w:type="dxa"/>
          </w:tcPr>
          <w:p w:rsidR="00DE2E40" w:rsidRPr="00DE2E40" w:rsidRDefault="00DE2E40" w:rsidP="00AE0120">
            <w:pPr>
              <w:pStyle w:val="FinancialsTableTextIndented"/>
            </w:pPr>
            <w:r w:rsidRPr="00DE2E40">
              <w:t xml:space="preserve">Accumulated depreciation </w:t>
            </w:r>
          </w:p>
        </w:tc>
        <w:tc>
          <w:tcPr>
            <w:tcW w:w="1560" w:type="dxa"/>
          </w:tcPr>
          <w:p w:rsidR="00DE2E40" w:rsidRPr="00DE2E40" w:rsidRDefault="00DE2E40" w:rsidP="00DE2E40">
            <w:pPr>
              <w:pStyle w:val="FinancialsTableText"/>
              <w:jc w:val="right"/>
              <w:rPr>
                <w:b/>
              </w:rPr>
            </w:pPr>
            <w:r w:rsidRPr="00DE2E40">
              <w:rPr>
                <w:b/>
              </w:rPr>
              <w:t xml:space="preserve"> (90)</w:t>
            </w:r>
          </w:p>
        </w:tc>
        <w:tc>
          <w:tcPr>
            <w:tcW w:w="1491" w:type="dxa"/>
          </w:tcPr>
          <w:p w:rsidR="00DE2E40" w:rsidRPr="00DE2E40" w:rsidRDefault="00DE2E40" w:rsidP="00DE2E40">
            <w:pPr>
              <w:pStyle w:val="FinancialsTableText"/>
              <w:jc w:val="right"/>
            </w:pPr>
            <w:r w:rsidRPr="00DE2E40">
              <w:t xml:space="preserve"> – </w:t>
            </w:r>
          </w:p>
        </w:tc>
      </w:tr>
      <w:tr w:rsidR="00DE2E40" w:rsidRPr="00DE2E40" w:rsidTr="00AE0120">
        <w:trPr>
          <w:trHeight w:val="60"/>
        </w:trPr>
        <w:tc>
          <w:tcPr>
            <w:tcW w:w="6804" w:type="dxa"/>
          </w:tcPr>
          <w:p w:rsidR="00DE2E40" w:rsidRPr="00AE0120" w:rsidRDefault="00DE2E40" w:rsidP="00DE2E40">
            <w:pPr>
              <w:pStyle w:val="FinancialsTableText"/>
              <w:rPr>
                <w:b/>
              </w:rPr>
            </w:pPr>
            <w:r w:rsidRPr="00AE0120">
              <w:rPr>
                <w:b/>
              </w:rPr>
              <w:t xml:space="preserve">Total other property, plant and equipment </w:t>
            </w:r>
          </w:p>
        </w:tc>
        <w:tc>
          <w:tcPr>
            <w:tcW w:w="1560" w:type="dxa"/>
          </w:tcPr>
          <w:p w:rsidR="00DE2E40" w:rsidRPr="00DE2E40" w:rsidRDefault="00DE2E40" w:rsidP="00DE2E40">
            <w:pPr>
              <w:pStyle w:val="FinancialsTableText"/>
              <w:jc w:val="right"/>
              <w:rPr>
                <w:b/>
              </w:rPr>
            </w:pPr>
            <w:r w:rsidRPr="00DE2E40">
              <w:rPr>
                <w:b/>
              </w:rPr>
              <w:t xml:space="preserve"> 348 </w:t>
            </w:r>
          </w:p>
        </w:tc>
        <w:tc>
          <w:tcPr>
            <w:tcW w:w="1491" w:type="dxa"/>
          </w:tcPr>
          <w:p w:rsidR="00DE2E40" w:rsidRPr="00DE2E40" w:rsidRDefault="00DE2E40" w:rsidP="00DE2E40">
            <w:pPr>
              <w:pStyle w:val="FinancialsTableText"/>
              <w:jc w:val="right"/>
            </w:pPr>
            <w:r w:rsidRPr="00DE2E40">
              <w:t xml:space="preserve"> 264 </w:t>
            </w:r>
          </w:p>
        </w:tc>
      </w:tr>
      <w:tr w:rsidR="00DE2E40" w:rsidRPr="00DE2E40" w:rsidTr="00AE0120">
        <w:trPr>
          <w:trHeight w:val="60"/>
        </w:trPr>
        <w:tc>
          <w:tcPr>
            <w:tcW w:w="9855" w:type="dxa"/>
            <w:gridSpan w:val="3"/>
          </w:tcPr>
          <w:p w:rsidR="00DE2E40" w:rsidRPr="00DE2E40" w:rsidRDefault="00DE2E40" w:rsidP="00AE0120">
            <w:pPr>
              <w:pStyle w:val="SourceNotesText"/>
            </w:pPr>
            <w:r w:rsidRPr="00DE2E40">
              <w:t xml:space="preserve">No indicators of impairment were found for Property, Plant and Equipment. </w:t>
            </w:r>
            <w:r w:rsidR="00AE0120">
              <w:br/>
            </w:r>
            <w:r w:rsidRPr="00DE2E40">
              <w:t xml:space="preserve">No Property, Plant and Equipment are expected to be sold or disposed of within the next 12 months. </w:t>
            </w:r>
          </w:p>
        </w:tc>
      </w:tr>
      <w:tr w:rsidR="00DE2E40" w:rsidRPr="00DE2E40" w:rsidTr="00AE0120">
        <w:trPr>
          <w:trHeight w:val="60"/>
        </w:trPr>
        <w:tc>
          <w:tcPr>
            <w:tcW w:w="9855" w:type="dxa"/>
            <w:gridSpan w:val="3"/>
          </w:tcPr>
          <w:p w:rsidR="00DE2E40" w:rsidRPr="00DE2E40" w:rsidRDefault="00DE2E40" w:rsidP="00AE0120">
            <w:pPr>
              <w:pStyle w:val="FinancialsTableH1"/>
            </w:pPr>
            <w:r w:rsidRPr="00DE2E40">
              <w:t xml:space="preserve">Note 6C: Intangibles </w:t>
            </w:r>
          </w:p>
        </w:tc>
      </w:tr>
      <w:tr w:rsidR="00DE2E40" w:rsidRPr="00DE2E40" w:rsidTr="00AE0120">
        <w:trPr>
          <w:trHeight w:val="60"/>
        </w:trPr>
        <w:tc>
          <w:tcPr>
            <w:tcW w:w="9855" w:type="dxa"/>
            <w:gridSpan w:val="3"/>
          </w:tcPr>
          <w:p w:rsidR="00DE2E40" w:rsidRPr="00DE2E40" w:rsidRDefault="00DE2E40" w:rsidP="00AE0120">
            <w:pPr>
              <w:pStyle w:val="FinancialsTableH2"/>
            </w:pPr>
            <w:r w:rsidRPr="00DE2E40">
              <w:t xml:space="preserve">Intangibles </w:t>
            </w:r>
          </w:p>
        </w:tc>
      </w:tr>
      <w:tr w:rsidR="00DE2E40" w:rsidRPr="00DE2E40" w:rsidTr="00AE0120">
        <w:trPr>
          <w:trHeight w:val="60"/>
        </w:trPr>
        <w:tc>
          <w:tcPr>
            <w:tcW w:w="6804" w:type="dxa"/>
          </w:tcPr>
          <w:p w:rsidR="00DE2E40" w:rsidRPr="00DE2E40" w:rsidRDefault="00DE2E40" w:rsidP="00AE0120">
            <w:pPr>
              <w:pStyle w:val="FinancialsTableTextIndented"/>
            </w:pPr>
            <w:r w:rsidRPr="00DE2E40">
              <w:t>Fair value</w:t>
            </w:r>
          </w:p>
        </w:tc>
        <w:tc>
          <w:tcPr>
            <w:tcW w:w="1560" w:type="dxa"/>
          </w:tcPr>
          <w:p w:rsidR="00DE2E40" w:rsidRPr="00DE2E40" w:rsidRDefault="00DE2E40" w:rsidP="00DE2E40">
            <w:pPr>
              <w:pStyle w:val="FinancialsTableText"/>
              <w:jc w:val="right"/>
              <w:rPr>
                <w:b/>
              </w:rPr>
            </w:pPr>
            <w:r w:rsidRPr="00DE2E40">
              <w:rPr>
                <w:b/>
              </w:rPr>
              <w:t xml:space="preserve"> 786 </w:t>
            </w:r>
          </w:p>
        </w:tc>
        <w:tc>
          <w:tcPr>
            <w:tcW w:w="1491" w:type="dxa"/>
          </w:tcPr>
          <w:p w:rsidR="00DE2E40" w:rsidRPr="00DE2E40" w:rsidRDefault="00DE2E40" w:rsidP="00DE2E40">
            <w:pPr>
              <w:pStyle w:val="FinancialsTableText"/>
              <w:jc w:val="right"/>
            </w:pPr>
            <w:r w:rsidRPr="00DE2E40">
              <w:t xml:space="preserve"> 193 </w:t>
            </w:r>
          </w:p>
        </w:tc>
      </w:tr>
      <w:tr w:rsidR="00DE2E40" w:rsidRPr="00DE2E40" w:rsidTr="00AE0120">
        <w:trPr>
          <w:trHeight w:val="60"/>
        </w:trPr>
        <w:tc>
          <w:tcPr>
            <w:tcW w:w="6804" w:type="dxa"/>
          </w:tcPr>
          <w:p w:rsidR="00DE2E40" w:rsidRPr="00DE2E40" w:rsidRDefault="00DE2E40" w:rsidP="00AE0120">
            <w:pPr>
              <w:pStyle w:val="FinancialsTableTextIndented"/>
            </w:pPr>
            <w:r w:rsidRPr="00DE2E40">
              <w:t>Accumulated amortisation</w:t>
            </w:r>
          </w:p>
        </w:tc>
        <w:tc>
          <w:tcPr>
            <w:tcW w:w="1560" w:type="dxa"/>
          </w:tcPr>
          <w:p w:rsidR="00DE2E40" w:rsidRPr="00DE2E40" w:rsidRDefault="00DE2E40" w:rsidP="00DE2E40">
            <w:pPr>
              <w:pStyle w:val="FinancialsTableText"/>
              <w:jc w:val="right"/>
              <w:rPr>
                <w:b/>
              </w:rPr>
            </w:pPr>
            <w:r w:rsidRPr="00DE2E40">
              <w:rPr>
                <w:b/>
              </w:rPr>
              <w:t xml:space="preserve"> (376)</w:t>
            </w:r>
          </w:p>
        </w:tc>
        <w:tc>
          <w:tcPr>
            <w:tcW w:w="1491" w:type="dxa"/>
          </w:tcPr>
          <w:p w:rsidR="00DE2E40" w:rsidRPr="00DE2E40" w:rsidRDefault="00DE2E40" w:rsidP="00DE2E40">
            <w:pPr>
              <w:pStyle w:val="FinancialsTableText"/>
              <w:jc w:val="right"/>
            </w:pPr>
            <w:r w:rsidRPr="00DE2E40">
              <w:t xml:space="preserve"> (99)</w:t>
            </w:r>
          </w:p>
        </w:tc>
      </w:tr>
      <w:tr w:rsidR="00DE2E40" w:rsidRPr="00DE2E40" w:rsidTr="00AE0120">
        <w:trPr>
          <w:trHeight w:val="60"/>
        </w:trPr>
        <w:tc>
          <w:tcPr>
            <w:tcW w:w="6804" w:type="dxa"/>
          </w:tcPr>
          <w:p w:rsidR="00DE2E40" w:rsidRPr="00AE0120" w:rsidRDefault="00DE2E40" w:rsidP="00DE2E40">
            <w:pPr>
              <w:pStyle w:val="FinancialsTableText"/>
              <w:rPr>
                <w:b/>
              </w:rPr>
            </w:pPr>
            <w:r w:rsidRPr="00AE0120">
              <w:rPr>
                <w:b/>
              </w:rPr>
              <w:t xml:space="preserve">Total intangibles </w:t>
            </w:r>
          </w:p>
        </w:tc>
        <w:tc>
          <w:tcPr>
            <w:tcW w:w="1560" w:type="dxa"/>
          </w:tcPr>
          <w:p w:rsidR="00DE2E40" w:rsidRPr="00DE2E40" w:rsidRDefault="00DE2E40" w:rsidP="00DE2E40">
            <w:pPr>
              <w:pStyle w:val="FinancialsTableText"/>
              <w:jc w:val="right"/>
              <w:rPr>
                <w:b/>
              </w:rPr>
            </w:pPr>
            <w:r w:rsidRPr="00DE2E40">
              <w:rPr>
                <w:b/>
              </w:rPr>
              <w:t xml:space="preserve"> 410 </w:t>
            </w:r>
          </w:p>
        </w:tc>
        <w:tc>
          <w:tcPr>
            <w:tcW w:w="1491" w:type="dxa"/>
          </w:tcPr>
          <w:p w:rsidR="00DE2E40" w:rsidRPr="00DE2E40" w:rsidRDefault="00DE2E40" w:rsidP="00DE2E40">
            <w:pPr>
              <w:pStyle w:val="FinancialsTableText"/>
              <w:jc w:val="right"/>
            </w:pPr>
            <w:r w:rsidRPr="00DE2E40">
              <w:t xml:space="preserve"> 94 </w:t>
            </w:r>
          </w:p>
        </w:tc>
      </w:tr>
    </w:tbl>
    <w:p w:rsidR="00091CD7" w:rsidRPr="00091CD7" w:rsidRDefault="00091CD7" w:rsidP="00091CD7">
      <w:pPr>
        <w:pStyle w:val="SourceNotesText"/>
        <w:rPr>
          <w:lang w:val="en-GB"/>
        </w:rPr>
      </w:pPr>
      <w:r w:rsidRPr="00091CD7">
        <w:rPr>
          <w:lang w:val="en-GB"/>
        </w:rPr>
        <w:t>No indicators of impairment were found for Intangibles.</w:t>
      </w:r>
      <w:r>
        <w:rPr>
          <w:lang w:val="en-GB"/>
        </w:rPr>
        <w:br/>
      </w:r>
      <w:r w:rsidRPr="00091CD7">
        <w:rPr>
          <w:lang w:val="en-GB"/>
        </w:rPr>
        <w:t>No Intangibles are expected to be sold or disposed of within the next 12 months.</w:t>
      </w:r>
    </w:p>
    <w:p w:rsidR="00DE2E40" w:rsidRDefault="00091CD7" w:rsidP="00091CD7">
      <w:pPr>
        <w:pStyle w:val="SourceNotesText"/>
        <w:rPr>
          <w:lang w:val="en-GB"/>
        </w:rPr>
      </w:pPr>
      <w:r w:rsidRPr="00091CD7">
        <w:rPr>
          <w:b/>
          <w:lang w:val="en-GB"/>
        </w:rPr>
        <w:t>Revaluations of non-financial assets</w:t>
      </w:r>
      <w:r>
        <w:rPr>
          <w:lang w:val="en-GB"/>
        </w:rPr>
        <w:br/>
      </w:r>
      <w:r w:rsidRPr="00091CD7">
        <w:rPr>
          <w:lang w:val="en-GB"/>
        </w:rPr>
        <w:t>All revaluations were conducted in accordance with the revaluation policy stated at Note 1.</w:t>
      </w:r>
    </w:p>
    <w:p w:rsidR="001131F0" w:rsidRDefault="001131F0" w:rsidP="001131F0">
      <w:r>
        <w:br w:type="page"/>
      </w:r>
    </w:p>
    <w:p w:rsidR="001131F0" w:rsidRDefault="001131F0" w:rsidP="001131F0">
      <w:pPr>
        <w:pStyle w:val="FinancialsTableH1"/>
      </w:pPr>
      <w:r>
        <w:lastRenderedPageBreak/>
        <w:t>NOTE 6D: RECONCILIATION OF THE OPENING AND CLOSING BALANCES OF NON-FINANCIAL ASSETS FOR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RECONCILIATION OF THE OPENING AND CLOSING BALANCES OF NON-FINANCIAL ASSETS FOR 2015"/>
      </w:tblPr>
      <w:tblGrid>
        <w:gridCol w:w="4395"/>
        <w:gridCol w:w="1559"/>
        <w:gridCol w:w="1701"/>
        <w:gridCol w:w="1346"/>
        <w:gridCol w:w="854"/>
      </w:tblGrid>
      <w:tr w:rsidR="001131F0" w:rsidRPr="001131F0" w:rsidTr="001131F0">
        <w:trPr>
          <w:cnfStyle w:val="100000000000" w:firstRow="1" w:lastRow="0" w:firstColumn="0" w:lastColumn="0" w:oddVBand="0" w:evenVBand="0" w:oddHBand="0" w:evenHBand="0" w:firstRowFirstColumn="0" w:firstRowLastColumn="0" w:lastRowFirstColumn="0" w:lastRowLastColumn="0"/>
          <w:trHeight w:val="60"/>
        </w:trPr>
        <w:tc>
          <w:tcPr>
            <w:tcW w:w="4395" w:type="dxa"/>
          </w:tcPr>
          <w:p w:rsidR="001131F0" w:rsidRPr="001131F0" w:rsidRDefault="001131F0" w:rsidP="001131F0">
            <w:pPr>
              <w:pStyle w:val="FinancialsTableText"/>
            </w:pPr>
          </w:p>
        </w:tc>
        <w:tc>
          <w:tcPr>
            <w:tcW w:w="1559" w:type="dxa"/>
          </w:tcPr>
          <w:p w:rsidR="001131F0" w:rsidRPr="001131F0" w:rsidRDefault="001131F0" w:rsidP="001131F0">
            <w:pPr>
              <w:pStyle w:val="FinancialsTableText"/>
              <w:jc w:val="right"/>
            </w:pPr>
            <w:r w:rsidRPr="001131F0">
              <w:t>Leasehold improvements</w:t>
            </w:r>
            <w:r>
              <w:br/>
            </w:r>
            <w:r w:rsidRPr="001131F0">
              <w:rPr>
                <w:b w:val="0"/>
              </w:rPr>
              <w:t>$’000</w:t>
            </w:r>
          </w:p>
        </w:tc>
        <w:tc>
          <w:tcPr>
            <w:tcW w:w="1701" w:type="dxa"/>
          </w:tcPr>
          <w:p w:rsidR="001131F0" w:rsidRPr="001131F0" w:rsidRDefault="001131F0" w:rsidP="001131F0">
            <w:pPr>
              <w:pStyle w:val="FinancialsTableText"/>
              <w:jc w:val="right"/>
            </w:pPr>
            <w:r w:rsidRPr="001131F0">
              <w:t>Property, plant and equipment</w:t>
            </w:r>
            <w:r>
              <w:br/>
            </w:r>
            <w:r w:rsidRPr="001131F0">
              <w:rPr>
                <w:b w:val="0"/>
              </w:rPr>
              <w:t>$’000</w:t>
            </w:r>
          </w:p>
        </w:tc>
        <w:tc>
          <w:tcPr>
            <w:tcW w:w="1346" w:type="dxa"/>
          </w:tcPr>
          <w:p w:rsidR="001131F0" w:rsidRPr="001131F0" w:rsidRDefault="001131F0" w:rsidP="001131F0">
            <w:pPr>
              <w:pStyle w:val="FinancialsTableText"/>
              <w:jc w:val="right"/>
            </w:pPr>
            <w:r w:rsidRPr="001131F0">
              <w:t>Intangibles</w:t>
            </w:r>
            <w:r>
              <w:br/>
            </w:r>
            <w:r w:rsidRPr="001131F0">
              <w:rPr>
                <w:b w:val="0"/>
              </w:rPr>
              <w:t>$’000</w:t>
            </w:r>
          </w:p>
        </w:tc>
        <w:tc>
          <w:tcPr>
            <w:tcW w:w="854" w:type="dxa"/>
          </w:tcPr>
          <w:p w:rsidR="001131F0" w:rsidRPr="001131F0" w:rsidRDefault="001131F0" w:rsidP="001131F0">
            <w:pPr>
              <w:pStyle w:val="FinancialsTableText"/>
              <w:jc w:val="right"/>
            </w:pPr>
            <w:r>
              <w:t>Total</w:t>
            </w:r>
            <w:r>
              <w:br/>
            </w:r>
            <w:r w:rsidRPr="001131F0">
              <w:rPr>
                <w:b w:val="0"/>
              </w:rPr>
              <w:t>$’000</w:t>
            </w:r>
          </w:p>
        </w:tc>
      </w:tr>
      <w:tr w:rsidR="001131F0" w:rsidRPr="001131F0" w:rsidTr="001131F0">
        <w:trPr>
          <w:trHeight w:val="60"/>
        </w:trPr>
        <w:tc>
          <w:tcPr>
            <w:tcW w:w="9855" w:type="dxa"/>
            <w:gridSpan w:val="5"/>
          </w:tcPr>
          <w:p w:rsidR="001131F0" w:rsidRPr="001131F0" w:rsidRDefault="001131F0" w:rsidP="001131F0">
            <w:pPr>
              <w:pStyle w:val="FinancialsTableH2"/>
            </w:pPr>
            <w:r w:rsidRPr="001131F0">
              <w:t>As at 1 July 2014</w:t>
            </w:r>
          </w:p>
        </w:tc>
      </w:tr>
      <w:tr w:rsidR="001131F0" w:rsidRPr="001131F0" w:rsidTr="001131F0">
        <w:trPr>
          <w:trHeight w:val="60"/>
        </w:trPr>
        <w:tc>
          <w:tcPr>
            <w:tcW w:w="4395" w:type="dxa"/>
          </w:tcPr>
          <w:p w:rsidR="001131F0" w:rsidRPr="001131F0" w:rsidRDefault="001131F0" w:rsidP="001131F0">
            <w:pPr>
              <w:pStyle w:val="FinancialsTableTextIndented"/>
            </w:pPr>
            <w:r w:rsidRPr="001131F0">
              <w:t>Gross book value</w:t>
            </w:r>
          </w:p>
        </w:tc>
        <w:tc>
          <w:tcPr>
            <w:tcW w:w="1559" w:type="dxa"/>
          </w:tcPr>
          <w:p w:rsidR="001131F0" w:rsidRPr="001131F0" w:rsidRDefault="001131F0" w:rsidP="001131F0">
            <w:pPr>
              <w:pStyle w:val="FinancialsTableText"/>
              <w:jc w:val="right"/>
            </w:pPr>
            <w:r w:rsidRPr="001131F0">
              <w:t xml:space="preserve"> 796 </w:t>
            </w:r>
          </w:p>
        </w:tc>
        <w:tc>
          <w:tcPr>
            <w:tcW w:w="1701" w:type="dxa"/>
          </w:tcPr>
          <w:p w:rsidR="001131F0" w:rsidRPr="001131F0" w:rsidRDefault="001131F0" w:rsidP="001131F0">
            <w:pPr>
              <w:pStyle w:val="FinancialsTableText"/>
              <w:jc w:val="right"/>
            </w:pPr>
            <w:r w:rsidRPr="001131F0">
              <w:t xml:space="preserve"> 264 </w:t>
            </w:r>
          </w:p>
        </w:tc>
        <w:tc>
          <w:tcPr>
            <w:tcW w:w="1346" w:type="dxa"/>
          </w:tcPr>
          <w:p w:rsidR="001131F0" w:rsidRPr="001131F0" w:rsidRDefault="001131F0" w:rsidP="001131F0">
            <w:pPr>
              <w:pStyle w:val="FinancialsTableText"/>
              <w:jc w:val="right"/>
            </w:pPr>
            <w:r w:rsidRPr="001131F0">
              <w:t xml:space="preserve"> 193 </w:t>
            </w:r>
          </w:p>
        </w:tc>
        <w:tc>
          <w:tcPr>
            <w:tcW w:w="854" w:type="dxa"/>
          </w:tcPr>
          <w:p w:rsidR="001131F0" w:rsidRPr="001131F0" w:rsidRDefault="001131F0" w:rsidP="001131F0">
            <w:pPr>
              <w:pStyle w:val="FinancialsTableText"/>
              <w:jc w:val="right"/>
            </w:pPr>
            <w:r w:rsidRPr="001131F0">
              <w:t xml:space="preserve"> 1,253 </w:t>
            </w:r>
          </w:p>
        </w:tc>
      </w:tr>
      <w:tr w:rsidR="001131F0" w:rsidRPr="001131F0" w:rsidTr="001131F0">
        <w:trPr>
          <w:trHeight w:val="60"/>
        </w:trPr>
        <w:tc>
          <w:tcPr>
            <w:tcW w:w="4395" w:type="dxa"/>
          </w:tcPr>
          <w:p w:rsidR="001131F0" w:rsidRPr="001131F0" w:rsidRDefault="001131F0" w:rsidP="001131F0">
            <w:pPr>
              <w:pStyle w:val="FinancialsTableTextIndented"/>
            </w:pPr>
            <w:r w:rsidRPr="001131F0">
              <w:t>Accumulated depreciation and impairment</w:t>
            </w:r>
          </w:p>
        </w:tc>
        <w:tc>
          <w:tcPr>
            <w:tcW w:w="1559" w:type="dxa"/>
          </w:tcPr>
          <w:p w:rsidR="001131F0" w:rsidRPr="001131F0" w:rsidRDefault="001131F0" w:rsidP="001131F0">
            <w:pPr>
              <w:pStyle w:val="FinancialsTableText"/>
              <w:jc w:val="right"/>
            </w:pPr>
            <w:r w:rsidRPr="001131F0">
              <w:t xml:space="preserve"> – </w:t>
            </w:r>
          </w:p>
        </w:tc>
        <w:tc>
          <w:tcPr>
            <w:tcW w:w="1701" w:type="dxa"/>
          </w:tcPr>
          <w:p w:rsidR="001131F0" w:rsidRPr="001131F0" w:rsidRDefault="001131F0" w:rsidP="001131F0">
            <w:pPr>
              <w:pStyle w:val="FinancialsTableText"/>
              <w:jc w:val="right"/>
            </w:pPr>
            <w:r w:rsidRPr="001131F0">
              <w:t xml:space="preserve"> – </w:t>
            </w:r>
          </w:p>
        </w:tc>
        <w:tc>
          <w:tcPr>
            <w:tcW w:w="1346" w:type="dxa"/>
          </w:tcPr>
          <w:p w:rsidR="001131F0" w:rsidRPr="001131F0" w:rsidRDefault="001131F0" w:rsidP="001131F0">
            <w:pPr>
              <w:pStyle w:val="FinancialsTableText"/>
              <w:jc w:val="right"/>
            </w:pPr>
            <w:r w:rsidRPr="001131F0">
              <w:t xml:space="preserve"> (99)</w:t>
            </w:r>
          </w:p>
        </w:tc>
        <w:tc>
          <w:tcPr>
            <w:tcW w:w="854" w:type="dxa"/>
          </w:tcPr>
          <w:p w:rsidR="001131F0" w:rsidRPr="001131F0" w:rsidRDefault="001131F0" w:rsidP="001131F0">
            <w:pPr>
              <w:pStyle w:val="FinancialsTableText"/>
              <w:jc w:val="right"/>
            </w:pPr>
            <w:r w:rsidRPr="001131F0">
              <w:t xml:space="preserve"> (99)</w:t>
            </w:r>
          </w:p>
        </w:tc>
      </w:tr>
      <w:tr w:rsidR="001131F0" w:rsidRPr="001131F0" w:rsidTr="001131F0">
        <w:trPr>
          <w:trHeight w:val="60"/>
        </w:trPr>
        <w:tc>
          <w:tcPr>
            <w:tcW w:w="4395" w:type="dxa"/>
          </w:tcPr>
          <w:p w:rsidR="001131F0" w:rsidRPr="001131F0" w:rsidRDefault="001131F0" w:rsidP="001131F0">
            <w:pPr>
              <w:pStyle w:val="FinancialsTableText"/>
              <w:rPr>
                <w:b/>
              </w:rPr>
            </w:pPr>
            <w:r w:rsidRPr="001131F0">
              <w:rPr>
                <w:b/>
              </w:rPr>
              <w:t>Net book value 1 July 2014</w:t>
            </w:r>
          </w:p>
        </w:tc>
        <w:tc>
          <w:tcPr>
            <w:tcW w:w="1559" w:type="dxa"/>
          </w:tcPr>
          <w:p w:rsidR="001131F0" w:rsidRPr="001131F0" w:rsidRDefault="001131F0" w:rsidP="001131F0">
            <w:pPr>
              <w:pStyle w:val="FinancialsTableText"/>
              <w:jc w:val="right"/>
              <w:rPr>
                <w:b/>
              </w:rPr>
            </w:pPr>
            <w:r w:rsidRPr="001131F0">
              <w:rPr>
                <w:b/>
              </w:rPr>
              <w:t xml:space="preserve"> 796 </w:t>
            </w:r>
          </w:p>
        </w:tc>
        <w:tc>
          <w:tcPr>
            <w:tcW w:w="1701" w:type="dxa"/>
          </w:tcPr>
          <w:p w:rsidR="001131F0" w:rsidRPr="001131F0" w:rsidRDefault="001131F0" w:rsidP="001131F0">
            <w:pPr>
              <w:pStyle w:val="FinancialsTableText"/>
              <w:jc w:val="right"/>
              <w:rPr>
                <w:b/>
              </w:rPr>
            </w:pPr>
            <w:r w:rsidRPr="001131F0">
              <w:rPr>
                <w:b/>
              </w:rPr>
              <w:t xml:space="preserve"> 264 </w:t>
            </w:r>
          </w:p>
        </w:tc>
        <w:tc>
          <w:tcPr>
            <w:tcW w:w="1346" w:type="dxa"/>
          </w:tcPr>
          <w:p w:rsidR="001131F0" w:rsidRPr="001131F0" w:rsidRDefault="001131F0" w:rsidP="001131F0">
            <w:pPr>
              <w:pStyle w:val="FinancialsTableText"/>
              <w:jc w:val="right"/>
              <w:rPr>
                <w:b/>
              </w:rPr>
            </w:pPr>
            <w:r w:rsidRPr="001131F0">
              <w:rPr>
                <w:b/>
              </w:rPr>
              <w:t xml:space="preserve"> 94 </w:t>
            </w:r>
          </w:p>
        </w:tc>
        <w:tc>
          <w:tcPr>
            <w:tcW w:w="854" w:type="dxa"/>
          </w:tcPr>
          <w:p w:rsidR="001131F0" w:rsidRPr="001131F0" w:rsidRDefault="001131F0" w:rsidP="001131F0">
            <w:pPr>
              <w:pStyle w:val="FinancialsTableText"/>
              <w:jc w:val="right"/>
              <w:rPr>
                <w:b/>
              </w:rPr>
            </w:pPr>
            <w:r w:rsidRPr="001131F0">
              <w:rPr>
                <w:b/>
              </w:rPr>
              <w:t xml:space="preserve"> 1,154 </w:t>
            </w:r>
          </w:p>
        </w:tc>
      </w:tr>
      <w:tr w:rsidR="001131F0" w:rsidRPr="001131F0" w:rsidTr="001131F0">
        <w:trPr>
          <w:trHeight w:val="60"/>
        </w:trPr>
        <w:tc>
          <w:tcPr>
            <w:tcW w:w="9855" w:type="dxa"/>
            <w:gridSpan w:val="5"/>
          </w:tcPr>
          <w:p w:rsidR="001131F0" w:rsidRPr="001131F0" w:rsidRDefault="001131F0" w:rsidP="00972488">
            <w:pPr>
              <w:pStyle w:val="FinancialsTableText"/>
              <w:spacing w:before="120"/>
            </w:pPr>
            <w:r w:rsidRPr="001131F0">
              <w:t>Additions</w:t>
            </w:r>
          </w:p>
        </w:tc>
      </w:tr>
      <w:tr w:rsidR="001131F0" w:rsidRPr="001131F0" w:rsidTr="001131F0">
        <w:trPr>
          <w:trHeight w:val="60"/>
        </w:trPr>
        <w:tc>
          <w:tcPr>
            <w:tcW w:w="4395" w:type="dxa"/>
          </w:tcPr>
          <w:p w:rsidR="001131F0" w:rsidRPr="001131F0" w:rsidRDefault="001131F0" w:rsidP="001131F0">
            <w:pPr>
              <w:pStyle w:val="FinancialsTableTextIndented"/>
            </w:pPr>
            <w:r w:rsidRPr="001131F0">
              <w:t>Purchase</w:t>
            </w:r>
          </w:p>
        </w:tc>
        <w:tc>
          <w:tcPr>
            <w:tcW w:w="1559" w:type="dxa"/>
          </w:tcPr>
          <w:p w:rsidR="001131F0" w:rsidRPr="001131F0" w:rsidRDefault="001131F0" w:rsidP="001131F0">
            <w:pPr>
              <w:pStyle w:val="FinancialsTableText"/>
              <w:jc w:val="right"/>
            </w:pPr>
            <w:r w:rsidRPr="001131F0">
              <w:t xml:space="preserve"> – </w:t>
            </w:r>
          </w:p>
        </w:tc>
        <w:tc>
          <w:tcPr>
            <w:tcW w:w="1701" w:type="dxa"/>
          </w:tcPr>
          <w:p w:rsidR="001131F0" w:rsidRPr="001131F0" w:rsidRDefault="001131F0" w:rsidP="001131F0">
            <w:pPr>
              <w:pStyle w:val="FinancialsTableText"/>
              <w:jc w:val="right"/>
            </w:pPr>
            <w:r w:rsidRPr="001131F0">
              <w:t xml:space="preserve"> 174 </w:t>
            </w:r>
          </w:p>
        </w:tc>
        <w:tc>
          <w:tcPr>
            <w:tcW w:w="1346" w:type="dxa"/>
          </w:tcPr>
          <w:p w:rsidR="001131F0" w:rsidRPr="001131F0" w:rsidRDefault="001131F0" w:rsidP="001131F0">
            <w:pPr>
              <w:pStyle w:val="FinancialsTableText"/>
              <w:jc w:val="right"/>
            </w:pPr>
            <w:r w:rsidRPr="001131F0">
              <w:t xml:space="preserve"> 593 </w:t>
            </w:r>
          </w:p>
        </w:tc>
        <w:tc>
          <w:tcPr>
            <w:tcW w:w="854" w:type="dxa"/>
          </w:tcPr>
          <w:p w:rsidR="001131F0" w:rsidRPr="001131F0" w:rsidRDefault="001131F0" w:rsidP="001131F0">
            <w:pPr>
              <w:pStyle w:val="FinancialsTableText"/>
              <w:jc w:val="right"/>
            </w:pPr>
            <w:r w:rsidRPr="001131F0">
              <w:t xml:space="preserve"> 767 </w:t>
            </w:r>
          </w:p>
        </w:tc>
      </w:tr>
      <w:tr w:rsidR="001131F0" w:rsidRPr="001131F0" w:rsidTr="001131F0">
        <w:trPr>
          <w:trHeight w:val="60"/>
        </w:trPr>
        <w:tc>
          <w:tcPr>
            <w:tcW w:w="4395" w:type="dxa"/>
          </w:tcPr>
          <w:p w:rsidR="001131F0" w:rsidRPr="001131F0" w:rsidRDefault="001131F0" w:rsidP="001131F0">
            <w:pPr>
              <w:pStyle w:val="FinancialsTableText"/>
            </w:pPr>
            <w:r w:rsidRPr="001131F0">
              <w:t>Depreciation and amortisation</w:t>
            </w:r>
          </w:p>
        </w:tc>
        <w:tc>
          <w:tcPr>
            <w:tcW w:w="1559" w:type="dxa"/>
          </w:tcPr>
          <w:p w:rsidR="001131F0" w:rsidRPr="001131F0" w:rsidRDefault="001131F0" w:rsidP="001131F0">
            <w:pPr>
              <w:pStyle w:val="FinancialsTableText"/>
              <w:jc w:val="right"/>
            </w:pPr>
            <w:r w:rsidRPr="001131F0">
              <w:t xml:space="preserve"> (200)</w:t>
            </w:r>
          </w:p>
        </w:tc>
        <w:tc>
          <w:tcPr>
            <w:tcW w:w="1701" w:type="dxa"/>
          </w:tcPr>
          <w:p w:rsidR="001131F0" w:rsidRPr="001131F0" w:rsidRDefault="001131F0" w:rsidP="001131F0">
            <w:pPr>
              <w:pStyle w:val="FinancialsTableText"/>
              <w:jc w:val="right"/>
            </w:pPr>
            <w:r w:rsidRPr="001131F0">
              <w:t xml:space="preserve"> (90)</w:t>
            </w:r>
          </w:p>
        </w:tc>
        <w:tc>
          <w:tcPr>
            <w:tcW w:w="1346" w:type="dxa"/>
          </w:tcPr>
          <w:p w:rsidR="001131F0" w:rsidRPr="001131F0" w:rsidRDefault="001131F0" w:rsidP="001131F0">
            <w:pPr>
              <w:pStyle w:val="FinancialsTableText"/>
              <w:jc w:val="right"/>
            </w:pPr>
            <w:r w:rsidRPr="001131F0">
              <w:t xml:space="preserve"> (277)</w:t>
            </w:r>
          </w:p>
        </w:tc>
        <w:tc>
          <w:tcPr>
            <w:tcW w:w="854" w:type="dxa"/>
          </w:tcPr>
          <w:p w:rsidR="001131F0" w:rsidRPr="001131F0" w:rsidRDefault="001131F0" w:rsidP="001131F0">
            <w:pPr>
              <w:pStyle w:val="FinancialsTableText"/>
              <w:jc w:val="right"/>
            </w:pPr>
            <w:r w:rsidRPr="001131F0">
              <w:t xml:space="preserve"> (567)</w:t>
            </w:r>
          </w:p>
        </w:tc>
      </w:tr>
      <w:tr w:rsidR="001131F0" w:rsidRPr="001131F0" w:rsidTr="001131F0">
        <w:trPr>
          <w:trHeight w:val="60"/>
        </w:trPr>
        <w:tc>
          <w:tcPr>
            <w:tcW w:w="4395" w:type="dxa"/>
          </w:tcPr>
          <w:p w:rsidR="001131F0" w:rsidRPr="001131F0" w:rsidRDefault="001131F0" w:rsidP="001131F0">
            <w:pPr>
              <w:pStyle w:val="FinancialsTableText"/>
            </w:pPr>
            <w:r w:rsidRPr="001131F0">
              <w:t>Disposals</w:t>
            </w:r>
          </w:p>
        </w:tc>
        <w:tc>
          <w:tcPr>
            <w:tcW w:w="1559" w:type="dxa"/>
          </w:tcPr>
          <w:p w:rsidR="001131F0" w:rsidRPr="001131F0" w:rsidRDefault="001131F0" w:rsidP="001131F0">
            <w:pPr>
              <w:pStyle w:val="FinancialsTableText"/>
              <w:jc w:val="right"/>
            </w:pPr>
            <w:r w:rsidRPr="001131F0">
              <w:t xml:space="preserve"> – </w:t>
            </w:r>
          </w:p>
        </w:tc>
        <w:tc>
          <w:tcPr>
            <w:tcW w:w="1701" w:type="dxa"/>
          </w:tcPr>
          <w:p w:rsidR="001131F0" w:rsidRPr="001131F0" w:rsidRDefault="001131F0" w:rsidP="001131F0">
            <w:pPr>
              <w:pStyle w:val="FinancialsTableText"/>
              <w:jc w:val="right"/>
            </w:pPr>
            <w:r w:rsidRPr="001131F0">
              <w:t xml:space="preserve"> – </w:t>
            </w:r>
          </w:p>
        </w:tc>
        <w:tc>
          <w:tcPr>
            <w:tcW w:w="1346" w:type="dxa"/>
          </w:tcPr>
          <w:p w:rsidR="001131F0" w:rsidRPr="001131F0" w:rsidRDefault="001131F0" w:rsidP="001131F0">
            <w:pPr>
              <w:pStyle w:val="FinancialsTableText"/>
              <w:jc w:val="right"/>
            </w:pPr>
            <w:r w:rsidRPr="001131F0">
              <w:t xml:space="preserve"> – </w:t>
            </w:r>
          </w:p>
        </w:tc>
        <w:tc>
          <w:tcPr>
            <w:tcW w:w="854" w:type="dxa"/>
          </w:tcPr>
          <w:p w:rsidR="001131F0" w:rsidRPr="001131F0" w:rsidRDefault="001131F0" w:rsidP="001131F0">
            <w:pPr>
              <w:pStyle w:val="FinancialsTableText"/>
              <w:jc w:val="right"/>
            </w:pPr>
            <w:r w:rsidRPr="001131F0">
              <w:t xml:space="preserve"> – </w:t>
            </w:r>
          </w:p>
        </w:tc>
      </w:tr>
      <w:tr w:rsidR="001131F0" w:rsidRPr="001131F0" w:rsidTr="001131F0">
        <w:trPr>
          <w:trHeight w:val="60"/>
        </w:trPr>
        <w:tc>
          <w:tcPr>
            <w:tcW w:w="4395" w:type="dxa"/>
          </w:tcPr>
          <w:p w:rsidR="001131F0" w:rsidRPr="001131F0" w:rsidRDefault="001131F0" w:rsidP="001131F0">
            <w:pPr>
              <w:pStyle w:val="FinancialsTableText"/>
              <w:rPr>
                <w:b/>
              </w:rPr>
            </w:pPr>
            <w:r w:rsidRPr="001131F0">
              <w:rPr>
                <w:b/>
              </w:rPr>
              <w:t>Net book value 30 June 2015</w:t>
            </w:r>
          </w:p>
        </w:tc>
        <w:tc>
          <w:tcPr>
            <w:tcW w:w="1559" w:type="dxa"/>
          </w:tcPr>
          <w:p w:rsidR="001131F0" w:rsidRPr="001131F0" w:rsidRDefault="001131F0" w:rsidP="001131F0">
            <w:pPr>
              <w:pStyle w:val="FinancialsTableText"/>
              <w:jc w:val="right"/>
              <w:rPr>
                <w:b/>
              </w:rPr>
            </w:pPr>
            <w:r w:rsidRPr="001131F0">
              <w:rPr>
                <w:b/>
              </w:rPr>
              <w:t xml:space="preserve"> 596 </w:t>
            </w:r>
          </w:p>
        </w:tc>
        <w:tc>
          <w:tcPr>
            <w:tcW w:w="1701" w:type="dxa"/>
          </w:tcPr>
          <w:p w:rsidR="001131F0" w:rsidRPr="001131F0" w:rsidRDefault="001131F0" w:rsidP="001131F0">
            <w:pPr>
              <w:pStyle w:val="FinancialsTableText"/>
              <w:jc w:val="right"/>
              <w:rPr>
                <w:b/>
              </w:rPr>
            </w:pPr>
            <w:r w:rsidRPr="001131F0">
              <w:rPr>
                <w:b/>
              </w:rPr>
              <w:t xml:space="preserve"> 348 </w:t>
            </w:r>
          </w:p>
        </w:tc>
        <w:tc>
          <w:tcPr>
            <w:tcW w:w="1346" w:type="dxa"/>
          </w:tcPr>
          <w:p w:rsidR="001131F0" w:rsidRPr="001131F0" w:rsidRDefault="001131F0" w:rsidP="001131F0">
            <w:pPr>
              <w:pStyle w:val="FinancialsTableText"/>
              <w:jc w:val="right"/>
              <w:rPr>
                <w:b/>
              </w:rPr>
            </w:pPr>
            <w:r w:rsidRPr="001131F0">
              <w:rPr>
                <w:b/>
              </w:rPr>
              <w:t xml:space="preserve"> 410 </w:t>
            </w:r>
          </w:p>
        </w:tc>
        <w:tc>
          <w:tcPr>
            <w:tcW w:w="854" w:type="dxa"/>
          </w:tcPr>
          <w:p w:rsidR="001131F0" w:rsidRPr="001131F0" w:rsidRDefault="001131F0" w:rsidP="001131F0">
            <w:pPr>
              <w:pStyle w:val="FinancialsTableText"/>
              <w:jc w:val="right"/>
              <w:rPr>
                <w:b/>
              </w:rPr>
            </w:pPr>
            <w:r w:rsidRPr="001131F0">
              <w:rPr>
                <w:b/>
              </w:rPr>
              <w:t xml:space="preserve"> 1,354 </w:t>
            </w:r>
          </w:p>
        </w:tc>
      </w:tr>
      <w:tr w:rsidR="001131F0" w:rsidRPr="001131F0" w:rsidTr="001131F0">
        <w:trPr>
          <w:trHeight w:val="60"/>
        </w:trPr>
        <w:tc>
          <w:tcPr>
            <w:tcW w:w="9855" w:type="dxa"/>
            <w:gridSpan w:val="5"/>
          </w:tcPr>
          <w:p w:rsidR="001131F0" w:rsidRPr="001131F0" w:rsidRDefault="001131F0" w:rsidP="001131F0">
            <w:pPr>
              <w:pStyle w:val="FinancialsTableText"/>
              <w:spacing w:before="240"/>
              <w:rPr>
                <w:b/>
              </w:rPr>
            </w:pPr>
            <w:r w:rsidRPr="001131F0">
              <w:rPr>
                <w:b/>
              </w:rPr>
              <w:t>Net book value as of 30 June 2015 represented by:</w:t>
            </w:r>
          </w:p>
        </w:tc>
      </w:tr>
      <w:tr w:rsidR="001131F0" w:rsidRPr="001131F0" w:rsidTr="001131F0">
        <w:trPr>
          <w:trHeight w:val="60"/>
        </w:trPr>
        <w:tc>
          <w:tcPr>
            <w:tcW w:w="4395" w:type="dxa"/>
          </w:tcPr>
          <w:p w:rsidR="001131F0" w:rsidRPr="001131F0" w:rsidRDefault="001131F0" w:rsidP="001131F0">
            <w:pPr>
              <w:pStyle w:val="FinancialsTableTextIndented"/>
            </w:pPr>
            <w:r w:rsidRPr="001131F0">
              <w:t>Gross book value</w:t>
            </w:r>
          </w:p>
        </w:tc>
        <w:tc>
          <w:tcPr>
            <w:tcW w:w="1559" w:type="dxa"/>
          </w:tcPr>
          <w:p w:rsidR="001131F0" w:rsidRPr="001131F0" w:rsidRDefault="001131F0" w:rsidP="001131F0">
            <w:pPr>
              <w:pStyle w:val="FinancialsTableText"/>
              <w:jc w:val="right"/>
            </w:pPr>
            <w:r w:rsidRPr="001131F0">
              <w:t xml:space="preserve"> 796 </w:t>
            </w:r>
          </w:p>
        </w:tc>
        <w:tc>
          <w:tcPr>
            <w:tcW w:w="1701" w:type="dxa"/>
          </w:tcPr>
          <w:p w:rsidR="001131F0" w:rsidRPr="001131F0" w:rsidRDefault="001131F0" w:rsidP="001131F0">
            <w:pPr>
              <w:pStyle w:val="FinancialsTableText"/>
              <w:jc w:val="right"/>
            </w:pPr>
            <w:r w:rsidRPr="001131F0">
              <w:t xml:space="preserve"> 438 </w:t>
            </w:r>
          </w:p>
        </w:tc>
        <w:tc>
          <w:tcPr>
            <w:tcW w:w="1346" w:type="dxa"/>
          </w:tcPr>
          <w:p w:rsidR="001131F0" w:rsidRPr="001131F0" w:rsidRDefault="001131F0" w:rsidP="001131F0">
            <w:pPr>
              <w:pStyle w:val="FinancialsTableText"/>
              <w:jc w:val="right"/>
            </w:pPr>
            <w:r w:rsidRPr="001131F0">
              <w:t xml:space="preserve"> 786 </w:t>
            </w:r>
          </w:p>
        </w:tc>
        <w:tc>
          <w:tcPr>
            <w:tcW w:w="854" w:type="dxa"/>
          </w:tcPr>
          <w:p w:rsidR="001131F0" w:rsidRPr="001131F0" w:rsidRDefault="001131F0" w:rsidP="001131F0">
            <w:pPr>
              <w:pStyle w:val="FinancialsTableText"/>
              <w:jc w:val="right"/>
            </w:pPr>
            <w:r w:rsidRPr="001131F0">
              <w:t xml:space="preserve"> 2,020 </w:t>
            </w:r>
          </w:p>
        </w:tc>
      </w:tr>
      <w:tr w:rsidR="001131F0" w:rsidRPr="001131F0" w:rsidTr="001131F0">
        <w:trPr>
          <w:trHeight w:val="60"/>
        </w:trPr>
        <w:tc>
          <w:tcPr>
            <w:tcW w:w="4395" w:type="dxa"/>
          </w:tcPr>
          <w:p w:rsidR="001131F0" w:rsidRPr="001131F0" w:rsidRDefault="001131F0" w:rsidP="001131F0">
            <w:pPr>
              <w:pStyle w:val="FinancialsTableTextIndented"/>
            </w:pPr>
            <w:r w:rsidRPr="001131F0">
              <w:t>Accumulated depreciation and impairment</w:t>
            </w:r>
          </w:p>
        </w:tc>
        <w:tc>
          <w:tcPr>
            <w:tcW w:w="1559" w:type="dxa"/>
          </w:tcPr>
          <w:p w:rsidR="001131F0" w:rsidRPr="001131F0" w:rsidRDefault="001131F0" w:rsidP="001131F0">
            <w:pPr>
              <w:pStyle w:val="FinancialsTableText"/>
              <w:jc w:val="right"/>
            </w:pPr>
            <w:r w:rsidRPr="001131F0">
              <w:t xml:space="preserve"> (200)</w:t>
            </w:r>
          </w:p>
        </w:tc>
        <w:tc>
          <w:tcPr>
            <w:tcW w:w="1701" w:type="dxa"/>
          </w:tcPr>
          <w:p w:rsidR="001131F0" w:rsidRPr="001131F0" w:rsidRDefault="001131F0" w:rsidP="001131F0">
            <w:pPr>
              <w:pStyle w:val="FinancialsTableText"/>
              <w:jc w:val="right"/>
            </w:pPr>
            <w:r w:rsidRPr="001131F0">
              <w:t xml:space="preserve"> (90)</w:t>
            </w:r>
          </w:p>
        </w:tc>
        <w:tc>
          <w:tcPr>
            <w:tcW w:w="1346" w:type="dxa"/>
          </w:tcPr>
          <w:p w:rsidR="001131F0" w:rsidRPr="001131F0" w:rsidRDefault="001131F0" w:rsidP="001131F0">
            <w:pPr>
              <w:pStyle w:val="FinancialsTableText"/>
              <w:jc w:val="right"/>
            </w:pPr>
            <w:r w:rsidRPr="001131F0">
              <w:t xml:space="preserve"> (376)</w:t>
            </w:r>
          </w:p>
        </w:tc>
        <w:tc>
          <w:tcPr>
            <w:tcW w:w="854" w:type="dxa"/>
          </w:tcPr>
          <w:p w:rsidR="001131F0" w:rsidRPr="001131F0" w:rsidRDefault="001131F0" w:rsidP="001131F0">
            <w:pPr>
              <w:pStyle w:val="FinancialsTableText"/>
              <w:jc w:val="right"/>
            </w:pPr>
            <w:r w:rsidRPr="001131F0">
              <w:t xml:space="preserve"> (666)</w:t>
            </w:r>
          </w:p>
        </w:tc>
      </w:tr>
      <w:tr w:rsidR="001131F0" w:rsidRPr="001131F0" w:rsidTr="001131F0">
        <w:trPr>
          <w:trHeight w:val="60"/>
        </w:trPr>
        <w:tc>
          <w:tcPr>
            <w:tcW w:w="4395" w:type="dxa"/>
          </w:tcPr>
          <w:p w:rsidR="001131F0" w:rsidRPr="001131F0" w:rsidRDefault="001131F0" w:rsidP="001131F0">
            <w:pPr>
              <w:pStyle w:val="FinancialsTableText"/>
              <w:rPr>
                <w:b/>
              </w:rPr>
            </w:pPr>
            <w:r w:rsidRPr="001131F0">
              <w:rPr>
                <w:b/>
              </w:rPr>
              <w:t>Net book value 30 June 2015</w:t>
            </w:r>
          </w:p>
        </w:tc>
        <w:tc>
          <w:tcPr>
            <w:tcW w:w="1559" w:type="dxa"/>
          </w:tcPr>
          <w:p w:rsidR="001131F0" w:rsidRPr="001131F0" w:rsidRDefault="001131F0" w:rsidP="001131F0">
            <w:pPr>
              <w:pStyle w:val="FinancialsTableText"/>
              <w:jc w:val="right"/>
              <w:rPr>
                <w:b/>
              </w:rPr>
            </w:pPr>
            <w:r w:rsidRPr="001131F0">
              <w:rPr>
                <w:b/>
              </w:rPr>
              <w:t xml:space="preserve"> 596 </w:t>
            </w:r>
          </w:p>
        </w:tc>
        <w:tc>
          <w:tcPr>
            <w:tcW w:w="1701" w:type="dxa"/>
          </w:tcPr>
          <w:p w:rsidR="001131F0" w:rsidRPr="001131F0" w:rsidRDefault="001131F0" w:rsidP="001131F0">
            <w:pPr>
              <w:pStyle w:val="FinancialsTableText"/>
              <w:jc w:val="right"/>
              <w:rPr>
                <w:b/>
              </w:rPr>
            </w:pPr>
            <w:r w:rsidRPr="001131F0">
              <w:rPr>
                <w:b/>
              </w:rPr>
              <w:t xml:space="preserve"> 348 </w:t>
            </w:r>
          </w:p>
        </w:tc>
        <w:tc>
          <w:tcPr>
            <w:tcW w:w="1346" w:type="dxa"/>
          </w:tcPr>
          <w:p w:rsidR="001131F0" w:rsidRPr="001131F0" w:rsidRDefault="001131F0" w:rsidP="001131F0">
            <w:pPr>
              <w:pStyle w:val="FinancialsTableText"/>
              <w:jc w:val="right"/>
              <w:rPr>
                <w:b/>
              </w:rPr>
            </w:pPr>
            <w:r w:rsidRPr="001131F0">
              <w:rPr>
                <w:b/>
              </w:rPr>
              <w:t xml:space="preserve"> 410 </w:t>
            </w:r>
          </w:p>
        </w:tc>
        <w:tc>
          <w:tcPr>
            <w:tcW w:w="854" w:type="dxa"/>
          </w:tcPr>
          <w:p w:rsidR="001131F0" w:rsidRPr="001131F0" w:rsidRDefault="001131F0" w:rsidP="001131F0">
            <w:pPr>
              <w:pStyle w:val="FinancialsTableText"/>
              <w:jc w:val="right"/>
              <w:rPr>
                <w:b/>
              </w:rPr>
            </w:pPr>
            <w:r w:rsidRPr="001131F0">
              <w:rPr>
                <w:b/>
              </w:rPr>
              <w:t xml:space="preserve"> 1,354</w:t>
            </w:r>
          </w:p>
        </w:tc>
      </w:tr>
    </w:tbl>
    <w:p w:rsidR="001131F0" w:rsidRDefault="001131F0" w:rsidP="001131F0">
      <w:pPr>
        <w:pStyle w:val="FinancialsTableH1"/>
      </w:pPr>
      <w:r w:rsidRPr="001131F0">
        <w:t>NOTE 6E: RECONCILIATION OF THE OPENING AND CLOSING BALANCES OF NON-FINANCIAL ASSETS FOR 2014</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RECONCILIATION OF THE OPENING AND CLOSING BALANCES OF NON-FINANCIAL ASSETS FOR 2014"/>
      </w:tblPr>
      <w:tblGrid>
        <w:gridCol w:w="4382"/>
        <w:gridCol w:w="13"/>
        <w:gridCol w:w="1559"/>
        <w:gridCol w:w="9"/>
        <w:gridCol w:w="1680"/>
        <w:gridCol w:w="12"/>
        <w:gridCol w:w="1318"/>
        <w:gridCol w:w="28"/>
        <w:gridCol w:w="854"/>
      </w:tblGrid>
      <w:tr w:rsidR="0079268A" w:rsidRPr="001131F0" w:rsidTr="00660951">
        <w:trPr>
          <w:cnfStyle w:val="100000000000" w:firstRow="1" w:lastRow="0" w:firstColumn="0" w:lastColumn="0" w:oddVBand="0" w:evenVBand="0" w:oddHBand="0" w:evenHBand="0" w:firstRowFirstColumn="0" w:firstRowLastColumn="0" w:lastRowFirstColumn="0" w:lastRowLastColumn="0"/>
          <w:trHeight w:val="60"/>
        </w:trPr>
        <w:tc>
          <w:tcPr>
            <w:tcW w:w="4395" w:type="dxa"/>
            <w:gridSpan w:val="2"/>
          </w:tcPr>
          <w:p w:rsidR="0079268A" w:rsidRPr="001131F0" w:rsidRDefault="0079268A" w:rsidP="00A97341">
            <w:pPr>
              <w:pStyle w:val="FinancialsTableText"/>
            </w:pPr>
          </w:p>
        </w:tc>
        <w:tc>
          <w:tcPr>
            <w:tcW w:w="1559" w:type="dxa"/>
          </w:tcPr>
          <w:p w:rsidR="0079268A" w:rsidRPr="001131F0" w:rsidRDefault="0079268A" w:rsidP="00A97341">
            <w:pPr>
              <w:pStyle w:val="FinancialsTableText"/>
              <w:jc w:val="right"/>
            </w:pPr>
            <w:r w:rsidRPr="001131F0">
              <w:t>Leasehold improvements</w:t>
            </w:r>
            <w:r>
              <w:br/>
            </w:r>
            <w:r w:rsidRPr="001131F0">
              <w:rPr>
                <w:b w:val="0"/>
              </w:rPr>
              <w:t>$’000</w:t>
            </w:r>
          </w:p>
        </w:tc>
        <w:tc>
          <w:tcPr>
            <w:tcW w:w="1701" w:type="dxa"/>
            <w:gridSpan w:val="3"/>
          </w:tcPr>
          <w:p w:rsidR="0079268A" w:rsidRPr="001131F0" w:rsidRDefault="0079268A" w:rsidP="00A97341">
            <w:pPr>
              <w:pStyle w:val="FinancialsTableText"/>
              <w:jc w:val="right"/>
            </w:pPr>
            <w:r w:rsidRPr="001131F0">
              <w:t>Property, plant and equipment</w:t>
            </w:r>
            <w:r>
              <w:br/>
            </w:r>
            <w:r w:rsidRPr="001131F0">
              <w:rPr>
                <w:b w:val="0"/>
              </w:rPr>
              <w:t>$’000</w:t>
            </w:r>
          </w:p>
        </w:tc>
        <w:tc>
          <w:tcPr>
            <w:tcW w:w="1346" w:type="dxa"/>
            <w:gridSpan w:val="2"/>
          </w:tcPr>
          <w:p w:rsidR="0079268A" w:rsidRPr="001131F0" w:rsidRDefault="0079268A" w:rsidP="00A97341">
            <w:pPr>
              <w:pStyle w:val="FinancialsTableText"/>
              <w:jc w:val="right"/>
            </w:pPr>
            <w:r w:rsidRPr="001131F0">
              <w:t>Intangibles</w:t>
            </w:r>
            <w:r>
              <w:br/>
            </w:r>
            <w:r w:rsidRPr="001131F0">
              <w:rPr>
                <w:b w:val="0"/>
              </w:rPr>
              <w:t>$’000</w:t>
            </w:r>
          </w:p>
        </w:tc>
        <w:tc>
          <w:tcPr>
            <w:tcW w:w="854" w:type="dxa"/>
          </w:tcPr>
          <w:p w:rsidR="0079268A" w:rsidRPr="001131F0" w:rsidRDefault="0079268A" w:rsidP="00A97341">
            <w:pPr>
              <w:pStyle w:val="FinancialsTableText"/>
              <w:jc w:val="right"/>
            </w:pPr>
            <w:r>
              <w:t>Total</w:t>
            </w:r>
            <w:r>
              <w:br/>
            </w:r>
            <w:r w:rsidRPr="001131F0">
              <w:rPr>
                <w:b w:val="0"/>
              </w:rPr>
              <w:t>$’000</w:t>
            </w:r>
          </w:p>
        </w:tc>
      </w:tr>
      <w:tr w:rsidR="001131F0" w:rsidRPr="0079268A" w:rsidTr="00660951">
        <w:trPr>
          <w:trHeight w:val="60"/>
        </w:trPr>
        <w:tc>
          <w:tcPr>
            <w:tcW w:w="9855" w:type="dxa"/>
            <w:gridSpan w:val="9"/>
          </w:tcPr>
          <w:p w:rsidR="001131F0" w:rsidRPr="0079268A" w:rsidRDefault="0079268A" w:rsidP="0079268A">
            <w:pPr>
              <w:pStyle w:val="FinancialsTableH2"/>
            </w:pPr>
            <w:r w:rsidRPr="0079268A">
              <w:t>A</w:t>
            </w:r>
            <w:r w:rsidR="001131F0" w:rsidRPr="0079268A">
              <w:t>s at 1 July 2013</w:t>
            </w:r>
          </w:p>
        </w:tc>
      </w:tr>
      <w:tr w:rsidR="001131F0" w:rsidRPr="0079268A" w:rsidTr="00660951">
        <w:trPr>
          <w:trHeight w:val="60"/>
        </w:trPr>
        <w:tc>
          <w:tcPr>
            <w:tcW w:w="4382" w:type="dxa"/>
          </w:tcPr>
          <w:p w:rsidR="001131F0" w:rsidRPr="0079268A" w:rsidRDefault="001131F0" w:rsidP="00972488">
            <w:pPr>
              <w:pStyle w:val="FinancialsTableTextIndented"/>
            </w:pPr>
            <w:r w:rsidRPr="0079268A">
              <w:t>Gross book value</w:t>
            </w:r>
          </w:p>
        </w:tc>
        <w:tc>
          <w:tcPr>
            <w:tcW w:w="1581" w:type="dxa"/>
            <w:gridSpan w:val="3"/>
          </w:tcPr>
          <w:p w:rsidR="001131F0" w:rsidRPr="0079268A" w:rsidRDefault="001131F0" w:rsidP="0079268A">
            <w:pPr>
              <w:pStyle w:val="FinancialsTableText"/>
            </w:pPr>
            <w:r w:rsidRPr="0079268A">
              <w:t xml:space="preserve"> 1,129 </w:t>
            </w:r>
          </w:p>
        </w:tc>
        <w:tc>
          <w:tcPr>
            <w:tcW w:w="1680" w:type="dxa"/>
          </w:tcPr>
          <w:p w:rsidR="001131F0" w:rsidRPr="0079268A" w:rsidRDefault="001131F0" w:rsidP="0079268A">
            <w:pPr>
              <w:pStyle w:val="FinancialsTableText"/>
            </w:pPr>
            <w:r w:rsidRPr="0079268A">
              <w:t xml:space="preserve"> 415 </w:t>
            </w:r>
          </w:p>
        </w:tc>
        <w:tc>
          <w:tcPr>
            <w:tcW w:w="1330" w:type="dxa"/>
            <w:gridSpan w:val="2"/>
          </w:tcPr>
          <w:p w:rsidR="001131F0" w:rsidRPr="0079268A" w:rsidRDefault="001131F0" w:rsidP="0079268A">
            <w:pPr>
              <w:pStyle w:val="FinancialsTableText"/>
            </w:pPr>
            <w:r w:rsidRPr="0079268A">
              <w:t xml:space="preserve"> 109 </w:t>
            </w:r>
          </w:p>
        </w:tc>
        <w:tc>
          <w:tcPr>
            <w:tcW w:w="882" w:type="dxa"/>
            <w:gridSpan w:val="2"/>
          </w:tcPr>
          <w:p w:rsidR="001131F0" w:rsidRPr="0079268A" w:rsidRDefault="001131F0" w:rsidP="0079268A">
            <w:pPr>
              <w:pStyle w:val="FinancialsTableText"/>
            </w:pPr>
            <w:r w:rsidRPr="0079268A">
              <w:t xml:space="preserve"> 1,653 </w:t>
            </w:r>
          </w:p>
        </w:tc>
      </w:tr>
      <w:tr w:rsidR="0079268A" w:rsidRPr="0079268A" w:rsidTr="00660951">
        <w:trPr>
          <w:trHeight w:val="60"/>
        </w:trPr>
        <w:tc>
          <w:tcPr>
            <w:tcW w:w="4382" w:type="dxa"/>
          </w:tcPr>
          <w:p w:rsidR="001131F0" w:rsidRPr="0079268A" w:rsidRDefault="001131F0" w:rsidP="00972488">
            <w:pPr>
              <w:pStyle w:val="FinancialsTableTextIndented"/>
            </w:pPr>
            <w:r w:rsidRPr="0079268A">
              <w:t>Accumulated depreciation and impairment</w:t>
            </w:r>
          </w:p>
        </w:tc>
        <w:tc>
          <w:tcPr>
            <w:tcW w:w="1581" w:type="dxa"/>
            <w:gridSpan w:val="3"/>
          </w:tcPr>
          <w:p w:rsidR="001131F0" w:rsidRPr="0079268A" w:rsidRDefault="001131F0" w:rsidP="0079268A">
            <w:pPr>
              <w:pStyle w:val="FinancialsTableText"/>
            </w:pPr>
            <w:r w:rsidRPr="0079268A">
              <w:t xml:space="preserve"> (192)</w:t>
            </w:r>
          </w:p>
        </w:tc>
        <w:tc>
          <w:tcPr>
            <w:tcW w:w="1680" w:type="dxa"/>
          </w:tcPr>
          <w:p w:rsidR="001131F0" w:rsidRPr="0079268A" w:rsidRDefault="001131F0" w:rsidP="0079268A">
            <w:pPr>
              <w:pStyle w:val="FinancialsTableText"/>
            </w:pPr>
            <w:r w:rsidRPr="0079268A">
              <w:t xml:space="preserve"> (74)</w:t>
            </w:r>
          </w:p>
        </w:tc>
        <w:tc>
          <w:tcPr>
            <w:tcW w:w="1330" w:type="dxa"/>
            <w:gridSpan w:val="2"/>
          </w:tcPr>
          <w:p w:rsidR="001131F0" w:rsidRPr="0079268A" w:rsidRDefault="001131F0" w:rsidP="0079268A">
            <w:pPr>
              <w:pStyle w:val="FinancialsTableText"/>
            </w:pPr>
            <w:r w:rsidRPr="0079268A">
              <w:t xml:space="preserve"> (12)</w:t>
            </w:r>
          </w:p>
        </w:tc>
        <w:tc>
          <w:tcPr>
            <w:tcW w:w="882" w:type="dxa"/>
            <w:gridSpan w:val="2"/>
          </w:tcPr>
          <w:p w:rsidR="001131F0" w:rsidRPr="0079268A" w:rsidRDefault="001131F0" w:rsidP="0079268A">
            <w:pPr>
              <w:pStyle w:val="FinancialsTableText"/>
            </w:pPr>
            <w:r w:rsidRPr="0079268A">
              <w:t xml:space="preserve"> (278)</w:t>
            </w:r>
          </w:p>
        </w:tc>
      </w:tr>
      <w:tr w:rsidR="001131F0" w:rsidRPr="0079268A" w:rsidTr="00660951">
        <w:trPr>
          <w:trHeight w:val="60"/>
        </w:trPr>
        <w:tc>
          <w:tcPr>
            <w:tcW w:w="4382" w:type="dxa"/>
          </w:tcPr>
          <w:p w:rsidR="001131F0" w:rsidRPr="00972488" w:rsidRDefault="001131F0" w:rsidP="0079268A">
            <w:pPr>
              <w:pStyle w:val="FinancialsTableText"/>
              <w:rPr>
                <w:b/>
              </w:rPr>
            </w:pPr>
            <w:r w:rsidRPr="00972488">
              <w:rPr>
                <w:b/>
              </w:rPr>
              <w:t>Net book value 1 July 2013</w:t>
            </w:r>
          </w:p>
        </w:tc>
        <w:tc>
          <w:tcPr>
            <w:tcW w:w="1581" w:type="dxa"/>
            <w:gridSpan w:val="3"/>
          </w:tcPr>
          <w:p w:rsidR="001131F0" w:rsidRPr="00972488" w:rsidRDefault="001131F0" w:rsidP="0079268A">
            <w:pPr>
              <w:pStyle w:val="FinancialsTableText"/>
              <w:rPr>
                <w:b/>
              </w:rPr>
            </w:pPr>
            <w:r w:rsidRPr="00972488">
              <w:rPr>
                <w:b/>
              </w:rPr>
              <w:t xml:space="preserve"> 937 </w:t>
            </w:r>
          </w:p>
        </w:tc>
        <w:tc>
          <w:tcPr>
            <w:tcW w:w="1680" w:type="dxa"/>
          </w:tcPr>
          <w:p w:rsidR="001131F0" w:rsidRPr="00972488" w:rsidRDefault="001131F0" w:rsidP="0079268A">
            <w:pPr>
              <w:pStyle w:val="FinancialsTableText"/>
              <w:rPr>
                <w:b/>
              </w:rPr>
            </w:pPr>
            <w:r w:rsidRPr="00972488">
              <w:rPr>
                <w:b/>
              </w:rPr>
              <w:t xml:space="preserve"> 341 </w:t>
            </w:r>
          </w:p>
        </w:tc>
        <w:tc>
          <w:tcPr>
            <w:tcW w:w="1330" w:type="dxa"/>
            <w:gridSpan w:val="2"/>
          </w:tcPr>
          <w:p w:rsidR="001131F0" w:rsidRPr="00972488" w:rsidRDefault="001131F0" w:rsidP="0079268A">
            <w:pPr>
              <w:pStyle w:val="FinancialsTableText"/>
              <w:rPr>
                <w:b/>
              </w:rPr>
            </w:pPr>
            <w:r w:rsidRPr="00972488">
              <w:rPr>
                <w:b/>
              </w:rPr>
              <w:t xml:space="preserve"> 97 </w:t>
            </w:r>
          </w:p>
        </w:tc>
        <w:tc>
          <w:tcPr>
            <w:tcW w:w="882" w:type="dxa"/>
            <w:gridSpan w:val="2"/>
          </w:tcPr>
          <w:p w:rsidR="001131F0" w:rsidRPr="00972488" w:rsidRDefault="001131F0" w:rsidP="0079268A">
            <w:pPr>
              <w:pStyle w:val="FinancialsTableText"/>
              <w:rPr>
                <w:b/>
              </w:rPr>
            </w:pPr>
            <w:r w:rsidRPr="00972488">
              <w:rPr>
                <w:b/>
              </w:rPr>
              <w:t xml:space="preserve"> 1,375 </w:t>
            </w:r>
          </w:p>
        </w:tc>
      </w:tr>
      <w:tr w:rsidR="0079268A" w:rsidRPr="0079268A" w:rsidTr="00660951">
        <w:trPr>
          <w:trHeight w:val="60"/>
        </w:trPr>
        <w:tc>
          <w:tcPr>
            <w:tcW w:w="4382" w:type="dxa"/>
          </w:tcPr>
          <w:p w:rsidR="001131F0" w:rsidRPr="0079268A" w:rsidRDefault="001131F0" w:rsidP="00972488">
            <w:pPr>
              <w:pStyle w:val="FinancialsTableText"/>
              <w:spacing w:before="120"/>
            </w:pPr>
            <w:r w:rsidRPr="0079268A">
              <w:t>Additions</w:t>
            </w:r>
          </w:p>
        </w:tc>
        <w:tc>
          <w:tcPr>
            <w:tcW w:w="1581" w:type="dxa"/>
            <w:gridSpan w:val="3"/>
          </w:tcPr>
          <w:p w:rsidR="001131F0" w:rsidRPr="0079268A" w:rsidRDefault="001131F0" w:rsidP="0079268A">
            <w:pPr>
              <w:pStyle w:val="FinancialsTableText"/>
            </w:pPr>
          </w:p>
        </w:tc>
        <w:tc>
          <w:tcPr>
            <w:tcW w:w="1680" w:type="dxa"/>
          </w:tcPr>
          <w:p w:rsidR="001131F0" w:rsidRPr="0079268A" w:rsidRDefault="001131F0" w:rsidP="0079268A">
            <w:pPr>
              <w:pStyle w:val="FinancialsTableText"/>
            </w:pPr>
          </w:p>
        </w:tc>
        <w:tc>
          <w:tcPr>
            <w:tcW w:w="1330" w:type="dxa"/>
            <w:gridSpan w:val="2"/>
          </w:tcPr>
          <w:p w:rsidR="001131F0" w:rsidRPr="0079268A" w:rsidRDefault="001131F0" w:rsidP="0079268A">
            <w:pPr>
              <w:pStyle w:val="FinancialsTableText"/>
            </w:pPr>
          </w:p>
        </w:tc>
        <w:tc>
          <w:tcPr>
            <w:tcW w:w="882" w:type="dxa"/>
            <w:gridSpan w:val="2"/>
          </w:tcPr>
          <w:p w:rsidR="001131F0" w:rsidRPr="0079268A" w:rsidRDefault="001131F0" w:rsidP="0079268A">
            <w:pPr>
              <w:pStyle w:val="FinancialsTableText"/>
            </w:pPr>
            <w:r w:rsidRPr="0079268A">
              <w:t xml:space="preserve"> – </w:t>
            </w:r>
          </w:p>
        </w:tc>
      </w:tr>
      <w:tr w:rsidR="001131F0" w:rsidRPr="0079268A" w:rsidTr="00660951">
        <w:trPr>
          <w:trHeight w:val="60"/>
        </w:trPr>
        <w:tc>
          <w:tcPr>
            <w:tcW w:w="4382" w:type="dxa"/>
          </w:tcPr>
          <w:p w:rsidR="001131F0" w:rsidRPr="0079268A" w:rsidRDefault="001131F0" w:rsidP="00972488">
            <w:pPr>
              <w:pStyle w:val="FinancialsTableTextIndented"/>
            </w:pPr>
            <w:r w:rsidRPr="0079268A">
              <w:t xml:space="preserve">Purchase </w:t>
            </w:r>
          </w:p>
        </w:tc>
        <w:tc>
          <w:tcPr>
            <w:tcW w:w="1581" w:type="dxa"/>
            <w:gridSpan w:val="3"/>
          </w:tcPr>
          <w:p w:rsidR="001131F0" w:rsidRPr="0079268A" w:rsidRDefault="001131F0" w:rsidP="0079268A">
            <w:pPr>
              <w:pStyle w:val="FinancialsTableText"/>
            </w:pPr>
            <w:r w:rsidRPr="0079268A">
              <w:t xml:space="preserve"> 32 </w:t>
            </w:r>
          </w:p>
        </w:tc>
        <w:tc>
          <w:tcPr>
            <w:tcW w:w="1680" w:type="dxa"/>
          </w:tcPr>
          <w:p w:rsidR="001131F0" w:rsidRPr="0079268A" w:rsidRDefault="001131F0" w:rsidP="0079268A">
            <w:pPr>
              <w:pStyle w:val="FinancialsTableText"/>
            </w:pPr>
            <w:r w:rsidRPr="0079268A">
              <w:t xml:space="preserve"> 55 </w:t>
            </w:r>
          </w:p>
        </w:tc>
        <w:tc>
          <w:tcPr>
            <w:tcW w:w="1330" w:type="dxa"/>
            <w:gridSpan w:val="2"/>
          </w:tcPr>
          <w:p w:rsidR="001131F0" w:rsidRPr="0079268A" w:rsidRDefault="001131F0" w:rsidP="0079268A">
            <w:pPr>
              <w:pStyle w:val="FinancialsTableText"/>
            </w:pPr>
            <w:r w:rsidRPr="0079268A">
              <w:t xml:space="preserve"> 84 </w:t>
            </w:r>
          </w:p>
        </w:tc>
        <w:tc>
          <w:tcPr>
            <w:tcW w:w="882" w:type="dxa"/>
            <w:gridSpan w:val="2"/>
          </w:tcPr>
          <w:p w:rsidR="001131F0" w:rsidRPr="0079268A" w:rsidRDefault="001131F0" w:rsidP="0079268A">
            <w:pPr>
              <w:pStyle w:val="FinancialsTableText"/>
            </w:pPr>
            <w:r w:rsidRPr="0079268A">
              <w:t xml:space="preserve"> 171 </w:t>
            </w:r>
          </w:p>
        </w:tc>
      </w:tr>
      <w:tr w:rsidR="0079268A" w:rsidRPr="0079268A" w:rsidTr="00660951">
        <w:trPr>
          <w:trHeight w:val="60"/>
        </w:trPr>
        <w:tc>
          <w:tcPr>
            <w:tcW w:w="4395" w:type="dxa"/>
            <w:gridSpan w:val="2"/>
          </w:tcPr>
          <w:p w:rsidR="001131F0" w:rsidRPr="0079268A" w:rsidRDefault="001131F0" w:rsidP="0079268A">
            <w:pPr>
              <w:pStyle w:val="FinancialsTableText"/>
            </w:pPr>
            <w:r w:rsidRPr="0079268A">
              <w:t xml:space="preserve">Revaluations recognised in the asset revaluation reserve </w:t>
            </w:r>
          </w:p>
        </w:tc>
        <w:tc>
          <w:tcPr>
            <w:tcW w:w="1568" w:type="dxa"/>
            <w:gridSpan w:val="2"/>
          </w:tcPr>
          <w:p w:rsidR="001131F0" w:rsidRPr="0079268A" w:rsidRDefault="001131F0" w:rsidP="0079268A">
            <w:pPr>
              <w:pStyle w:val="FinancialsTableText"/>
            </w:pPr>
            <w:r w:rsidRPr="0079268A">
              <w:t xml:space="preserve"> 16</w:t>
            </w:r>
          </w:p>
        </w:tc>
        <w:tc>
          <w:tcPr>
            <w:tcW w:w="1680" w:type="dxa"/>
          </w:tcPr>
          <w:p w:rsidR="001131F0" w:rsidRPr="0079268A" w:rsidRDefault="001131F0" w:rsidP="0079268A">
            <w:pPr>
              <w:pStyle w:val="FinancialsTableText"/>
            </w:pPr>
            <w:r w:rsidRPr="0079268A">
              <w:t xml:space="preserve"> – </w:t>
            </w:r>
          </w:p>
        </w:tc>
        <w:tc>
          <w:tcPr>
            <w:tcW w:w="1330" w:type="dxa"/>
            <w:gridSpan w:val="2"/>
          </w:tcPr>
          <w:p w:rsidR="001131F0" w:rsidRPr="0079268A" w:rsidRDefault="001131F0" w:rsidP="0079268A">
            <w:pPr>
              <w:pStyle w:val="FinancialsTableText"/>
            </w:pPr>
            <w:r w:rsidRPr="0079268A">
              <w:t xml:space="preserve"> – </w:t>
            </w:r>
          </w:p>
        </w:tc>
        <w:tc>
          <w:tcPr>
            <w:tcW w:w="882" w:type="dxa"/>
            <w:gridSpan w:val="2"/>
          </w:tcPr>
          <w:p w:rsidR="001131F0" w:rsidRPr="0079268A" w:rsidRDefault="001131F0" w:rsidP="0079268A">
            <w:pPr>
              <w:pStyle w:val="FinancialsTableText"/>
            </w:pPr>
            <w:r w:rsidRPr="0079268A">
              <w:t xml:space="preserve"> 16 </w:t>
            </w:r>
          </w:p>
        </w:tc>
      </w:tr>
      <w:tr w:rsidR="001131F0" w:rsidRPr="0079268A" w:rsidTr="00660951">
        <w:trPr>
          <w:trHeight w:val="60"/>
        </w:trPr>
        <w:tc>
          <w:tcPr>
            <w:tcW w:w="4395" w:type="dxa"/>
            <w:gridSpan w:val="2"/>
          </w:tcPr>
          <w:p w:rsidR="001131F0" w:rsidRPr="0079268A" w:rsidRDefault="001131F0" w:rsidP="0079268A">
            <w:pPr>
              <w:pStyle w:val="FinancialsTableText"/>
            </w:pPr>
            <w:r w:rsidRPr="0079268A">
              <w:t>Impairments recognised in net cost of services</w:t>
            </w:r>
          </w:p>
        </w:tc>
        <w:tc>
          <w:tcPr>
            <w:tcW w:w="1568" w:type="dxa"/>
            <w:gridSpan w:val="2"/>
          </w:tcPr>
          <w:p w:rsidR="001131F0" w:rsidRPr="0079268A" w:rsidRDefault="001131F0" w:rsidP="0079268A">
            <w:pPr>
              <w:pStyle w:val="FinancialsTableText"/>
            </w:pPr>
            <w:r w:rsidRPr="0079268A">
              <w:t xml:space="preserve"> – </w:t>
            </w:r>
          </w:p>
        </w:tc>
        <w:tc>
          <w:tcPr>
            <w:tcW w:w="1680" w:type="dxa"/>
          </w:tcPr>
          <w:p w:rsidR="001131F0" w:rsidRPr="0079268A" w:rsidRDefault="001131F0" w:rsidP="0079268A">
            <w:pPr>
              <w:pStyle w:val="FinancialsTableText"/>
            </w:pPr>
            <w:r w:rsidRPr="0079268A">
              <w:t xml:space="preserve"> (30)</w:t>
            </w:r>
          </w:p>
        </w:tc>
        <w:tc>
          <w:tcPr>
            <w:tcW w:w="1330" w:type="dxa"/>
            <w:gridSpan w:val="2"/>
          </w:tcPr>
          <w:p w:rsidR="001131F0" w:rsidRPr="0079268A" w:rsidRDefault="001131F0" w:rsidP="0079268A">
            <w:pPr>
              <w:pStyle w:val="FinancialsTableText"/>
            </w:pPr>
            <w:r w:rsidRPr="0079268A">
              <w:t xml:space="preserve"> – </w:t>
            </w:r>
          </w:p>
        </w:tc>
        <w:tc>
          <w:tcPr>
            <w:tcW w:w="882" w:type="dxa"/>
            <w:gridSpan w:val="2"/>
          </w:tcPr>
          <w:p w:rsidR="001131F0" w:rsidRPr="0079268A" w:rsidRDefault="001131F0" w:rsidP="0079268A">
            <w:pPr>
              <w:pStyle w:val="FinancialsTableText"/>
            </w:pPr>
            <w:r w:rsidRPr="0079268A">
              <w:t xml:space="preserve"> (30)</w:t>
            </w:r>
          </w:p>
        </w:tc>
      </w:tr>
      <w:tr w:rsidR="0079268A" w:rsidRPr="0079268A" w:rsidTr="00660951">
        <w:trPr>
          <w:trHeight w:val="60"/>
        </w:trPr>
        <w:tc>
          <w:tcPr>
            <w:tcW w:w="4395" w:type="dxa"/>
            <w:gridSpan w:val="2"/>
          </w:tcPr>
          <w:p w:rsidR="001131F0" w:rsidRPr="0079268A" w:rsidRDefault="001131F0" w:rsidP="0079268A">
            <w:pPr>
              <w:pStyle w:val="FinancialsTableText"/>
            </w:pPr>
            <w:r w:rsidRPr="0079268A">
              <w:t xml:space="preserve">Depreciation and amortisation </w:t>
            </w:r>
          </w:p>
        </w:tc>
        <w:tc>
          <w:tcPr>
            <w:tcW w:w="1568" w:type="dxa"/>
            <w:gridSpan w:val="2"/>
          </w:tcPr>
          <w:p w:rsidR="001131F0" w:rsidRPr="0079268A" w:rsidRDefault="001131F0" w:rsidP="0079268A">
            <w:pPr>
              <w:pStyle w:val="FinancialsTableText"/>
            </w:pPr>
            <w:r w:rsidRPr="0079268A">
              <w:t xml:space="preserve"> (189)</w:t>
            </w:r>
          </w:p>
        </w:tc>
        <w:tc>
          <w:tcPr>
            <w:tcW w:w="1680" w:type="dxa"/>
          </w:tcPr>
          <w:p w:rsidR="001131F0" w:rsidRPr="0079268A" w:rsidRDefault="001131F0" w:rsidP="0079268A">
            <w:pPr>
              <w:pStyle w:val="FinancialsTableText"/>
            </w:pPr>
            <w:r w:rsidRPr="0079268A">
              <w:t xml:space="preserve"> (101)</w:t>
            </w:r>
          </w:p>
        </w:tc>
        <w:tc>
          <w:tcPr>
            <w:tcW w:w="1330" w:type="dxa"/>
            <w:gridSpan w:val="2"/>
          </w:tcPr>
          <w:p w:rsidR="001131F0" w:rsidRPr="0079268A" w:rsidRDefault="001131F0" w:rsidP="0079268A">
            <w:pPr>
              <w:pStyle w:val="FinancialsTableText"/>
            </w:pPr>
            <w:r w:rsidRPr="0079268A">
              <w:t xml:space="preserve"> (87)</w:t>
            </w:r>
          </w:p>
        </w:tc>
        <w:tc>
          <w:tcPr>
            <w:tcW w:w="882" w:type="dxa"/>
            <w:gridSpan w:val="2"/>
          </w:tcPr>
          <w:p w:rsidR="001131F0" w:rsidRPr="0079268A" w:rsidRDefault="001131F0" w:rsidP="0079268A">
            <w:pPr>
              <w:pStyle w:val="FinancialsTableText"/>
            </w:pPr>
            <w:r w:rsidRPr="0079268A">
              <w:t xml:space="preserve"> (377)</w:t>
            </w:r>
          </w:p>
        </w:tc>
      </w:tr>
      <w:tr w:rsidR="001131F0" w:rsidRPr="0079268A" w:rsidTr="00660951">
        <w:trPr>
          <w:trHeight w:val="60"/>
        </w:trPr>
        <w:tc>
          <w:tcPr>
            <w:tcW w:w="4395" w:type="dxa"/>
            <w:gridSpan w:val="2"/>
          </w:tcPr>
          <w:p w:rsidR="001131F0" w:rsidRPr="0079268A" w:rsidRDefault="001131F0" w:rsidP="0079268A">
            <w:pPr>
              <w:pStyle w:val="FinancialsTableText"/>
            </w:pPr>
            <w:r w:rsidRPr="0079268A">
              <w:t>Disposal</w:t>
            </w:r>
          </w:p>
        </w:tc>
        <w:tc>
          <w:tcPr>
            <w:tcW w:w="1568" w:type="dxa"/>
            <w:gridSpan w:val="2"/>
          </w:tcPr>
          <w:p w:rsidR="001131F0" w:rsidRPr="0079268A" w:rsidRDefault="001131F0" w:rsidP="0079268A">
            <w:pPr>
              <w:pStyle w:val="FinancialsTableText"/>
            </w:pPr>
            <w:r w:rsidRPr="0079268A">
              <w:t xml:space="preserve"> – </w:t>
            </w:r>
          </w:p>
        </w:tc>
        <w:tc>
          <w:tcPr>
            <w:tcW w:w="1680" w:type="dxa"/>
          </w:tcPr>
          <w:p w:rsidR="001131F0" w:rsidRPr="0079268A" w:rsidRDefault="001131F0" w:rsidP="0079268A">
            <w:pPr>
              <w:pStyle w:val="FinancialsTableText"/>
            </w:pPr>
            <w:r w:rsidRPr="0079268A">
              <w:t xml:space="preserve"> (1)</w:t>
            </w:r>
          </w:p>
        </w:tc>
        <w:tc>
          <w:tcPr>
            <w:tcW w:w="1330" w:type="dxa"/>
            <w:gridSpan w:val="2"/>
          </w:tcPr>
          <w:p w:rsidR="001131F0" w:rsidRPr="0079268A" w:rsidRDefault="001131F0" w:rsidP="0079268A">
            <w:pPr>
              <w:pStyle w:val="FinancialsTableText"/>
            </w:pPr>
            <w:r w:rsidRPr="0079268A">
              <w:t xml:space="preserve"> – </w:t>
            </w:r>
          </w:p>
        </w:tc>
        <w:tc>
          <w:tcPr>
            <w:tcW w:w="882" w:type="dxa"/>
            <w:gridSpan w:val="2"/>
          </w:tcPr>
          <w:p w:rsidR="001131F0" w:rsidRPr="0079268A" w:rsidRDefault="001131F0" w:rsidP="0079268A">
            <w:pPr>
              <w:pStyle w:val="FinancialsTableText"/>
            </w:pPr>
            <w:r w:rsidRPr="0079268A">
              <w:t xml:space="preserve"> (1)</w:t>
            </w:r>
          </w:p>
        </w:tc>
      </w:tr>
      <w:tr w:rsidR="0079268A" w:rsidRPr="0079268A" w:rsidTr="00660951">
        <w:trPr>
          <w:trHeight w:val="60"/>
        </w:trPr>
        <w:tc>
          <w:tcPr>
            <w:tcW w:w="4395" w:type="dxa"/>
            <w:gridSpan w:val="2"/>
          </w:tcPr>
          <w:p w:rsidR="001131F0" w:rsidRPr="00972488" w:rsidRDefault="001131F0" w:rsidP="0079268A">
            <w:pPr>
              <w:pStyle w:val="FinancialsTableText"/>
              <w:rPr>
                <w:b/>
              </w:rPr>
            </w:pPr>
            <w:r w:rsidRPr="00972488">
              <w:rPr>
                <w:b/>
              </w:rPr>
              <w:t>Net book value 30 June 2014</w:t>
            </w:r>
          </w:p>
        </w:tc>
        <w:tc>
          <w:tcPr>
            <w:tcW w:w="1568" w:type="dxa"/>
            <w:gridSpan w:val="2"/>
          </w:tcPr>
          <w:p w:rsidR="001131F0" w:rsidRPr="00972488" w:rsidRDefault="001131F0" w:rsidP="0079268A">
            <w:pPr>
              <w:pStyle w:val="FinancialsTableText"/>
              <w:rPr>
                <w:b/>
              </w:rPr>
            </w:pPr>
            <w:r w:rsidRPr="00972488">
              <w:rPr>
                <w:b/>
              </w:rPr>
              <w:t xml:space="preserve"> 796 </w:t>
            </w:r>
          </w:p>
        </w:tc>
        <w:tc>
          <w:tcPr>
            <w:tcW w:w="1680" w:type="dxa"/>
          </w:tcPr>
          <w:p w:rsidR="001131F0" w:rsidRPr="00972488" w:rsidRDefault="001131F0" w:rsidP="0079268A">
            <w:pPr>
              <w:pStyle w:val="FinancialsTableText"/>
              <w:rPr>
                <w:b/>
              </w:rPr>
            </w:pPr>
            <w:r w:rsidRPr="00972488">
              <w:rPr>
                <w:b/>
              </w:rPr>
              <w:t xml:space="preserve"> 264 </w:t>
            </w:r>
          </w:p>
        </w:tc>
        <w:tc>
          <w:tcPr>
            <w:tcW w:w="1330" w:type="dxa"/>
            <w:gridSpan w:val="2"/>
          </w:tcPr>
          <w:p w:rsidR="001131F0" w:rsidRPr="00972488" w:rsidRDefault="001131F0" w:rsidP="0079268A">
            <w:pPr>
              <w:pStyle w:val="FinancialsTableText"/>
              <w:rPr>
                <w:b/>
              </w:rPr>
            </w:pPr>
            <w:r w:rsidRPr="00972488">
              <w:rPr>
                <w:b/>
              </w:rPr>
              <w:t xml:space="preserve"> 94 </w:t>
            </w:r>
          </w:p>
        </w:tc>
        <w:tc>
          <w:tcPr>
            <w:tcW w:w="882" w:type="dxa"/>
            <w:gridSpan w:val="2"/>
          </w:tcPr>
          <w:p w:rsidR="001131F0" w:rsidRPr="00972488" w:rsidRDefault="001131F0" w:rsidP="0079268A">
            <w:pPr>
              <w:pStyle w:val="FinancialsTableText"/>
              <w:rPr>
                <w:b/>
              </w:rPr>
            </w:pPr>
            <w:r w:rsidRPr="00972488">
              <w:rPr>
                <w:b/>
              </w:rPr>
              <w:t xml:space="preserve"> 1,154 </w:t>
            </w:r>
          </w:p>
        </w:tc>
      </w:tr>
      <w:tr w:rsidR="001131F0" w:rsidRPr="0079268A" w:rsidTr="00660951">
        <w:trPr>
          <w:trHeight w:val="60"/>
        </w:trPr>
        <w:tc>
          <w:tcPr>
            <w:tcW w:w="8973" w:type="dxa"/>
            <w:gridSpan w:val="7"/>
          </w:tcPr>
          <w:p w:rsidR="001131F0" w:rsidRPr="0079268A" w:rsidRDefault="001131F0" w:rsidP="00972488">
            <w:pPr>
              <w:pStyle w:val="FinancialsTableText"/>
              <w:spacing w:before="240"/>
            </w:pPr>
            <w:r w:rsidRPr="00972488">
              <w:rPr>
                <w:b/>
              </w:rPr>
              <w:t>Net book value as of 30 June 2014 represented by:</w:t>
            </w:r>
          </w:p>
        </w:tc>
        <w:tc>
          <w:tcPr>
            <w:tcW w:w="882" w:type="dxa"/>
            <w:gridSpan w:val="2"/>
          </w:tcPr>
          <w:p w:rsidR="001131F0" w:rsidRPr="0079268A" w:rsidRDefault="001131F0" w:rsidP="0079268A">
            <w:pPr>
              <w:pStyle w:val="FinancialsTableText"/>
            </w:pPr>
            <w:r w:rsidRPr="0079268A">
              <w:t xml:space="preserve"> – </w:t>
            </w:r>
          </w:p>
        </w:tc>
      </w:tr>
      <w:tr w:rsidR="0079268A" w:rsidRPr="0079268A" w:rsidTr="00660951">
        <w:trPr>
          <w:trHeight w:val="60"/>
        </w:trPr>
        <w:tc>
          <w:tcPr>
            <w:tcW w:w="4395" w:type="dxa"/>
            <w:gridSpan w:val="2"/>
          </w:tcPr>
          <w:p w:rsidR="001131F0" w:rsidRPr="0079268A" w:rsidRDefault="001131F0" w:rsidP="0079268A">
            <w:pPr>
              <w:pStyle w:val="FinancialsTableText"/>
            </w:pPr>
            <w:r w:rsidRPr="0079268A">
              <w:t>Gross book value</w:t>
            </w:r>
          </w:p>
        </w:tc>
        <w:tc>
          <w:tcPr>
            <w:tcW w:w="1568" w:type="dxa"/>
            <w:gridSpan w:val="2"/>
          </w:tcPr>
          <w:p w:rsidR="001131F0" w:rsidRPr="0079268A" w:rsidRDefault="001131F0" w:rsidP="0079268A">
            <w:pPr>
              <w:pStyle w:val="FinancialsTableText"/>
            </w:pPr>
            <w:r w:rsidRPr="0079268A">
              <w:t xml:space="preserve"> 796 </w:t>
            </w:r>
          </w:p>
        </w:tc>
        <w:tc>
          <w:tcPr>
            <w:tcW w:w="1680" w:type="dxa"/>
          </w:tcPr>
          <w:p w:rsidR="001131F0" w:rsidRPr="0079268A" w:rsidRDefault="001131F0" w:rsidP="0079268A">
            <w:pPr>
              <w:pStyle w:val="FinancialsTableText"/>
            </w:pPr>
            <w:r w:rsidRPr="0079268A">
              <w:t xml:space="preserve"> 264 </w:t>
            </w:r>
          </w:p>
        </w:tc>
        <w:tc>
          <w:tcPr>
            <w:tcW w:w="1330" w:type="dxa"/>
            <w:gridSpan w:val="2"/>
          </w:tcPr>
          <w:p w:rsidR="001131F0" w:rsidRPr="0079268A" w:rsidRDefault="001131F0" w:rsidP="0079268A">
            <w:pPr>
              <w:pStyle w:val="FinancialsTableText"/>
            </w:pPr>
            <w:r w:rsidRPr="0079268A">
              <w:t xml:space="preserve"> 193 </w:t>
            </w:r>
          </w:p>
        </w:tc>
        <w:tc>
          <w:tcPr>
            <w:tcW w:w="882" w:type="dxa"/>
            <w:gridSpan w:val="2"/>
          </w:tcPr>
          <w:p w:rsidR="001131F0" w:rsidRPr="0079268A" w:rsidRDefault="001131F0" w:rsidP="0079268A">
            <w:pPr>
              <w:pStyle w:val="FinancialsTableText"/>
            </w:pPr>
            <w:r w:rsidRPr="0079268A">
              <w:t xml:space="preserve"> 1,253 </w:t>
            </w:r>
          </w:p>
        </w:tc>
      </w:tr>
      <w:tr w:rsidR="001131F0" w:rsidRPr="0079268A" w:rsidTr="00660951">
        <w:trPr>
          <w:trHeight w:val="60"/>
        </w:trPr>
        <w:tc>
          <w:tcPr>
            <w:tcW w:w="4395" w:type="dxa"/>
            <w:gridSpan w:val="2"/>
          </w:tcPr>
          <w:p w:rsidR="001131F0" w:rsidRPr="0079268A" w:rsidRDefault="001131F0" w:rsidP="0079268A">
            <w:pPr>
              <w:pStyle w:val="FinancialsTableText"/>
            </w:pPr>
            <w:r w:rsidRPr="0079268A">
              <w:t>Revaluation recognised in asset revaluation reserve</w:t>
            </w:r>
          </w:p>
        </w:tc>
        <w:tc>
          <w:tcPr>
            <w:tcW w:w="1568" w:type="dxa"/>
            <w:gridSpan w:val="2"/>
          </w:tcPr>
          <w:p w:rsidR="001131F0" w:rsidRPr="0079268A" w:rsidRDefault="001131F0" w:rsidP="0079268A">
            <w:pPr>
              <w:pStyle w:val="FinancialsTableText"/>
            </w:pPr>
            <w:r w:rsidRPr="0079268A">
              <w:t>–</w:t>
            </w:r>
          </w:p>
        </w:tc>
        <w:tc>
          <w:tcPr>
            <w:tcW w:w="1680" w:type="dxa"/>
          </w:tcPr>
          <w:p w:rsidR="001131F0" w:rsidRPr="0079268A" w:rsidRDefault="001131F0" w:rsidP="0079268A">
            <w:pPr>
              <w:pStyle w:val="FinancialsTableText"/>
            </w:pPr>
            <w:r w:rsidRPr="0079268A">
              <w:t xml:space="preserve"> – </w:t>
            </w:r>
          </w:p>
        </w:tc>
        <w:tc>
          <w:tcPr>
            <w:tcW w:w="1330" w:type="dxa"/>
            <w:gridSpan w:val="2"/>
          </w:tcPr>
          <w:p w:rsidR="001131F0" w:rsidRPr="0079268A" w:rsidRDefault="001131F0" w:rsidP="0079268A">
            <w:pPr>
              <w:pStyle w:val="FinancialsTableText"/>
            </w:pPr>
            <w:r w:rsidRPr="0079268A">
              <w:t xml:space="preserve"> – </w:t>
            </w:r>
          </w:p>
        </w:tc>
        <w:tc>
          <w:tcPr>
            <w:tcW w:w="882" w:type="dxa"/>
            <w:gridSpan w:val="2"/>
          </w:tcPr>
          <w:p w:rsidR="001131F0" w:rsidRPr="0079268A" w:rsidRDefault="001131F0" w:rsidP="0079268A">
            <w:pPr>
              <w:pStyle w:val="FinancialsTableText"/>
            </w:pPr>
            <w:r w:rsidRPr="0079268A">
              <w:t xml:space="preserve"> – </w:t>
            </w:r>
          </w:p>
        </w:tc>
      </w:tr>
      <w:tr w:rsidR="0079268A" w:rsidRPr="0079268A" w:rsidTr="00660951">
        <w:trPr>
          <w:trHeight w:val="60"/>
        </w:trPr>
        <w:tc>
          <w:tcPr>
            <w:tcW w:w="4395" w:type="dxa"/>
            <w:gridSpan w:val="2"/>
          </w:tcPr>
          <w:p w:rsidR="001131F0" w:rsidRPr="0079268A" w:rsidRDefault="001131F0" w:rsidP="0079268A">
            <w:pPr>
              <w:pStyle w:val="FinancialsTableText"/>
            </w:pPr>
            <w:r w:rsidRPr="0079268A">
              <w:t>Accumulated depreciation and impairment</w:t>
            </w:r>
          </w:p>
        </w:tc>
        <w:tc>
          <w:tcPr>
            <w:tcW w:w="1568" w:type="dxa"/>
            <w:gridSpan w:val="2"/>
          </w:tcPr>
          <w:p w:rsidR="001131F0" w:rsidRPr="0079268A" w:rsidRDefault="001131F0" w:rsidP="0079268A">
            <w:pPr>
              <w:pStyle w:val="FinancialsTableText"/>
            </w:pPr>
            <w:r w:rsidRPr="0079268A">
              <w:t xml:space="preserve"> – </w:t>
            </w:r>
          </w:p>
        </w:tc>
        <w:tc>
          <w:tcPr>
            <w:tcW w:w="1680" w:type="dxa"/>
          </w:tcPr>
          <w:p w:rsidR="001131F0" w:rsidRPr="0079268A" w:rsidRDefault="001131F0" w:rsidP="0079268A">
            <w:pPr>
              <w:pStyle w:val="FinancialsTableText"/>
            </w:pPr>
            <w:r w:rsidRPr="0079268A">
              <w:t xml:space="preserve"> – </w:t>
            </w:r>
          </w:p>
        </w:tc>
        <w:tc>
          <w:tcPr>
            <w:tcW w:w="1330" w:type="dxa"/>
            <w:gridSpan w:val="2"/>
          </w:tcPr>
          <w:p w:rsidR="001131F0" w:rsidRPr="0079268A" w:rsidRDefault="001131F0" w:rsidP="0079268A">
            <w:pPr>
              <w:pStyle w:val="FinancialsTableText"/>
            </w:pPr>
            <w:r w:rsidRPr="0079268A">
              <w:t xml:space="preserve"> (99)</w:t>
            </w:r>
          </w:p>
        </w:tc>
        <w:tc>
          <w:tcPr>
            <w:tcW w:w="882" w:type="dxa"/>
            <w:gridSpan w:val="2"/>
          </w:tcPr>
          <w:p w:rsidR="001131F0" w:rsidRPr="0079268A" w:rsidRDefault="001131F0" w:rsidP="0079268A">
            <w:pPr>
              <w:pStyle w:val="FinancialsTableText"/>
            </w:pPr>
            <w:r w:rsidRPr="0079268A">
              <w:t xml:space="preserve"> (99)</w:t>
            </w:r>
          </w:p>
        </w:tc>
      </w:tr>
      <w:tr w:rsidR="001131F0" w:rsidRPr="0079268A" w:rsidTr="00660951">
        <w:trPr>
          <w:trHeight w:val="60"/>
        </w:trPr>
        <w:tc>
          <w:tcPr>
            <w:tcW w:w="4395" w:type="dxa"/>
            <w:gridSpan w:val="2"/>
          </w:tcPr>
          <w:p w:rsidR="001131F0" w:rsidRPr="00972488" w:rsidRDefault="001131F0" w:rsidP="0079268A">
            <w:pPr>
              <w:pStyle w:val="FinancialsTableText"/>
              <w:rPr>
                <w:b/>
              </w:rPr>
            </w:pPr>
            <w:r w:rsidRPr="00972488">
              <w:rPr>
                <w:b/>
              </w:rPr>
              <w:t>Net book value 30 June 2014</w:t>
            </w:r>
          </w:p>
        </w:tc>
        <w:tc>
          <w:tcPr>
            <w:tcW w:w="1568" w:type="dxa"/>
            <w:gridSpan w:val="2"/>
          </w:tcPr>
          <w:p w:rsidR="001131F0" w:rsidRPr="00972488" w:rsidRDefault="001131F0" w:rsidP="0079268A">
            <w:pPr>
              <w:pStyle w:val="FinancialsTableText"/>
              <w:rPr>
                <w:b/>
              </w:rPr>
            </w:pPr>
            <w:r w:rsidRPr="00972488">
              <w:rPr>
                <w:b/>
              </w:rPr>
              <w:t xml:space="preserve"> 796 </w:t>
            </w:r>
          </w:p>
        </w:tc>
        <w:tc>
          <w:tcPr>
            <w:tcW w:w="1680" w:type="dxa"/>
          </w:tcPr>
          <w:p w:rsidR="001131F0" w:rsidRPr="00972488" w:rsidRDefault="001131F0" w:rsidP="0079268A">
            <w:pPr>
              <w:pStyle w:val="FinancialsTableText"/>
              <w:rPr>
                <w:b/>
              </w:rPr>
            </w:pPr>
            <w:r w:rsidRPr="00972488">
              <w:rPr>
                <w:b/>
              </w:rPr>
              <w:t xml:space="preserve"> 264 </w:t>
            </w:r>
          </w:p>
        </w:tc>
        <w:tc>
          <w:tcPr>
            <w:tcW w:w="1330" w:type="dxa"/>
            <w:gridSpan w:val="2"/>
          </w:tcPr>
          <w:p w:rsidR="001131F0" w:rsidRPr="00972488" w:rsidRDefault="001131F0" w:rsidP="0079268A">
            <w:pPr>
              <w:pStyle w:val="FinancialsTableText"/>
              <w:rPr>
                <w:b/>
              </w:rPr>
            </w:pPr>
            <w:r w:rsidRPr="00972488">
              <w:rPr>
                <w:b/>
              </w:rPr>
              <w:t xml:space="preserve"> 94 </w:t>
            </w:r>
          </w:p>
        </w:tc>
        <w:tc>
          <w:tcPr>
            <w:tcW w:w="882" w:type="dxa"/>
            <w:gridSpan w:val="2"/>
          </w:tcPr>
          <w:p w:rsidR="001131F0" w:rsidRPr="00972488" w:rsidRDefault="001131F0" w:rsidP="0079268A">
            <w:pPr>
              <w:pStyle w:val="FinancialsTableText"/>
              <w:rPr>
                <w:b/>
              </w:rPr>
            </w:pPr>
            <w:r w:rsidRPr="00972488">
              <w:rPr>
                <w:b/>
              </w:rPr>
              <w:t xml:space="preserve"> 1,154</w:t>
            </w:r>
          </w:p>
        </w:tc>
      </w:tr>
    </w:tbl>
    <w:p w:rsidR="00972488" w:rsidRDefault="00972488" w:rsidP="001131F0">
      <w:pPr>
        <w:pStyle w:val="FinancialsTableH1"/>
      </w:pPr>
      <w:r>
        <w:br w:type="page"/>
      </w:r>
    </w:p>
    <w:p w:rsidR="001131F0" w:rsidRDefault="001131F0" w:rsidP="001131F0">
      <w:pPr>
        <w:pStyle w:val="FinancialsTableH1"/>
      </w:pPr>
      <w:r w:rsidRPr="001131F0">
        <w:lastRenderedPageBreak/>
        <w:t>NOTE 6F: OTHER NON-FINANCIAL ASSETS</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OTHER NON-FINANCIAL ASSETS"/>
      </w:tblPr>
      <w:tblGrid>
        <w:gridCol w:w="7655"/>
        <w:gridCol w:w="1100"/>
        <w:gridCol w:w="1100"/>
      </w:tblGrid>
      <w:tr w:rsidR="001131F0" w:rsidRPr="001131F0" w:rsidTr="00603261">
        <w:trPr>
          <w:cnfStyle w:val="100000000000" w:firstRow="1" w:lastRow="0" w:firstColumn="0" w:lastColumn="0" w:oddVBand="0" w:evenVBand="0" w:oddHBand="0" w:evenHBand="0" w:firstRowFirstColumn="0" w:firstRowLastColumn="0" w:lastRowFirstColumn="0" w:lastRowLastColumn="0"/>
          <w:trHeight w:val="60"/>
        </w:trPr>
        <w:tc>
          <w:tcPr>
            <w:tcW w:w="7655" w:type="dxa"/>
          </w:tcPr>
          <w:p w:rsidR="001131F0" w:rsidRPr="001131F0" w:rsidRDefault="001131F0" w:rsidP="001F101A">
            <w:pPr>
              <w:pStyle w:val="FinancialsTableText"/>
            </w:pPr>
          </w:p>
        </w:tc>
        <w:tc>
          <w:tcPr>
            <w:tcW w:w="1100" w:type="dxa"/>
          </w:tcPr>
          <w:p w:rsidR="001131F0" w:rsidRPr="001131F0" w:rsidRDefault="001131F0" w:rsidP="001F101A">
            <w:pPr>
              <w:pStyle w:val="FinancialsTableText"/>
              <w:jc w:val="right"/>
              <w:rPr>
                <w:lang w:val="en-GB"/>
              </w:rPr>
            </w:pPr>
            <w:r w:rsidRPr="001131F0">
              <w:rPr>
                <w:bCs/>
                <w:lang w:val="en-GB"/>
              </w:rPr>
              <w:t>2015</w:t>
            </w:r>
            <w:r w:rsidR="001F101A">
              <w:rPr>
                <w:bCs/>
                <w:lang w:val="en-GB"/>
              </w:rPr>
              <w:br/>
            </w:r>
            <w:r w:rsidRPr="001F101A">
              <w:rPr>
                <w:b w:val="0"/>
                <w:lang w:val="en-GB"/>
              </w:rPr>
              <w:t>$’000</w:t>
            </w:r>
          </w:p>
        </w:tc>
        <w:tc>
          <w:tcPr>
            <w:tcW w:w="1100" w:type="dxa"/>
          </w:tcPr>
          <w:p w:rsidR="001131F0" w:rsidRPr="001131F0" w:rsidRDefault="001131F0" w:rsidP="001F101A">
            <w:pPr>
              <w:pStyle w:val="FinancialsTableText"/>
              <w:jc w:val="right"/>
              <w:rPr>
                <w:lang w:val="en-GB"/>
              </w:rPr>
            </w:pPr>
            <w:r w:rsidRPr="001131F0">
              <w:rPr>
                <w:bCs/>
                <w:lang w:val="en-GB"/>
              </w:rPr>
              <w:t>2014</w:t>
            </w:r>
            <w:r w:rsidR="001F101A">
              <w:rPr>
                <w:bCs/>
                <w:lang w:val="en-GB"/>
              </w:rPr>
              <w:br/>
            </w:r>
            <w:r w:rsidRPr="001F101A">
              <w:rPr>
                <w:b w:val="0"/>
                <w:lang w:val="en-GB"/>
              </w:rPr>
              <w:t>$’000</w:t>
            </w:r>
          </w:p>
        </w:tc>
      </w:tr>
      <w:tr w:rsidR="001F101A" w:rsidTr="00603261">
        <w:trPr>
          <w:trHeight w:val="60"/>
        </w:trPr>
        <w:tc>
          <w:tcPr>
            <w:tcW w:w="7655" w:type="dxa"/>
          </w:tcPr>
          <w:p w:rsidR="001131F0" w:rsidRDefault="001131F0" w:rsidP="001F101A">
            <w:pPr>
              <w:pStyle w:val="FinancialsTableText"/>
            </w:pPr>
            <w:r>
              <w:t>Prepayments</w:t>
            </w:r>
          </w:p>
        </w:tc>
        <w:tc>
          <w:tcPr>
            <w:tcW w:w="1100" w:type="dxa"/>
          </w:tcPr>
          <w:p w:rsidR="001131F0" w:rsidRPr="001131F0" w:rsidRDefault="001131F0" w:rsidP="001F101A">
            <w:pPr>
              <w:pStyle w:val="FinancialsTableText"/>
              <w:jc w:val="right"/>
              <w:rPr>
                <w:b/>
                <w:bCs/>
                <w:lang w:val="en-GB"/>
              </w:rPr>
            </w:pPr>
            <w:r w:rsidRPr="001131F0">
              <w:rPr>
                <w:b/>
                <w:bCs/>
                <w:lang w:val="en-GB"/>
              </w:rPr>
              <w:t xml:space="preserve"> 48 </w:t>
            </w:r>
          </w:p>
        </w:tc>
        <w:tc>
          <w:tcPr>
            <w:tcW w:w="1100" w:type="dxa"/>
          </w:tcPr>
          <w:p w:rsidR="001131F0" w:rsidRPr="001F101A" w:rsidRDefault="001131F0" w:rsidP="001F101A">
            <w:pPr>
              <w:pStyle w:val="FinancialsTableText"/>
              <w:jc w:val="right"/>
              <w:rPr>
                <w:bCs/>
                <w:lang w:val="en-GB"/>
              </w:rPr>
            </w:pPr>
            <w:r w:rsidRPr="001F101A">
              <w:rPr>
                <w:bCs/>
                <w:lang w:val="en-GB"/>
              </w:rPr>
              <w:t xml:space="preserve"> 44 </w:t>
            </w:r>
          </w:p>
        </w:tc>
      </w:tr>
      <w:tr w:rsidR="001F101A" w:rsidTr="00603261">
        <w:trPr>
          <w:trHeight w:val="60"/>
        </w:trPr>
        <w:tc>
          <w:tcPr>
            <w:tcW w:w="7655" w:type="dxa"/>
          </w:tcPr>
          <w:p w:rsidR="001131F0" w:rsidRPr="001F101A" w:rsidRDefault="001131F0" w:rsidP="001F101A">
            <w:pPr>
              <w:pStyle w:val="FinancialsTableText"/>
              <w:rPr>
                <w:b/>
              </w:rPr>
            </w:pPr>
            <w:r w:rsidRPr="001F101A">
              <w:rPr>
                <w:b/>
              </w:rPr>
              <w:t>Total other non-financial assets</w:t>
            </w:r>
          </w:p>
        </w:tc>
        <w:tc>
          <w:tcPr>
            <w:tcW w:w="1100" w:type="dxa"/>
          </w:tcPr>
          <w:p w:rsidR="001131F0" w:rsidRPr="001131F0" w:rsidRDefault="001131F0" w:rsidP="001F101A">
            <w:pPr>
              <w:pStyle w:val="FinancialsTableText"/>
              <w:jc w:val="right"/>
              <w:rPr>
                <w:b/>
                <w:bCs/>
                <w:lang w:val="en-GB"/>
              </w:rPr>
            </w:pPr>
            <w:r w:rsidRPr="001131F0">
              <w:rPr>
                <w:b/>
                <w:bCs/>
                <w:lang w:val="en-GB"/>
              </w:rPr>
              <w:t xml:space="preserve"> 48 </w:t>
            </w:r>
          </w:p>
        </w:tc>
        <w:tc>
          <w:tcPr>
            <w:tcW w:w="1100" w:type="dxa"/>
          </w:tcPr>
          <w:p w:rsidR="001131F0" w:rsidRPr="001F101A" w:rsidRDefault="001131F0" w:rsidP="001F101A">
            <w:pPr>
              <w:pStyle w:val="FinancialsTableText"/>
              <w:jc w:val="right"/>
              <w:rPr>
                <w:bCs/>
                <w:lang w:val="en-GB"/>
              </w:rPr>
            </w:pPr>
            <w:r w:rsidRPr="001F101A">
              <w:rPr>
                <w:bCs/>
                <w:lang w:val="en-GB"/>
              </w:rPr>
              <w:t xml:space="preserve"> 44 </w:t>
            </w:r>
          </w:p>
        </w:tc>
      </w:tr>
      <w:tr w:rsidR="001F101A" w:rsidTr="00603261">
        <w:trPr>
          <w:trHeight w:val="60"/>
        </w:trPr>
        <w:tc>
          <w:tcPr>
            <w:tcW w:w="7655" w:type="dxa"/>
          </w:tcPr>
          <w:p w:rsidR="001131F0" w:rsidRDefault="001131F0" w:rsidP="001F101A">
            <w:pPr>
              <w:pStyle w:val="FinancialsTableText"/>
              <w:spacing w:before="120"/>
            </w:pPr>
            <w:r>
              <w:t>Other non-financial assets expected to be recovered</w:t>
            </w:r>
          </w:p>
        </w:tc>
        <w:tc>
          <w:tcPr>
            <w:tcW w:w="1100" w:type="dxa"/>
          </w:tcPr>
          <w:p w:rsidR="001131F0" w:rsidRPr="001131F0" w:rsidRDefault="001131F0" w:rsidP="001F101A">
            <w:pPr>
              <w:pStyle w:val="FinancialsTableText"/>
              <w:jc w:val="right"/>
              <w:rPr>
                <w:b/>
                <w:bCs/>
                <w:lang w:val="en-GB"/>
              </w:rPr>
            </w:pPr>
          </w:p>
        </w:tc>
        <w:tc>
          <w:tcPr>
            <w:tcW w:w="1100" w:type="dxa"/>
          </w:tcPr>
          <w:p w:rsidR="001131F0" w:rsidRPr="001F101A" w:rsidRDefault="001131F0" w:rsidP="001F101A">
            <w:pPr>
              <w:pStyle w:val="FinancialsTableText"/>
              <w:jc w:val="right"/>
              <w:rPr>
                <w:bCs/>
                <w:lang w:val="en-GB"/>
              </w:rPr>
            </w:pPr>
          </w:p>
        </w:tc>
      </w:tr>
      <w:tr w:rsidR="001F101A" w:rsidTr="00603261">
        <w:trPr>
          <w:trHeight w:val="60"/>
        </w:trPr>
        <w:tc>
          <w:tcPr>
            <w:tcW w:w="7655" w:type="dxa"/>
          </w:tcPr>
          <w:p w:rsidR="001131F0" w:rsidRDefault="001131F0" w:rsidP="001F101A">
            <w:pPr>
              <w:pStyle w:val="FinancialsTableTextIndented"/>
            </w:pPr>
            <w:r>
              <w:t>No more than 12 months</w:t>
            </w:r>
          </w:p>
        </w:tc>
        <w:tc>
          <w:tcPr>
            <w:tcW w:w="1100" w:type="dxa"/>
          </w:tcPr>
          <w:p w:rsidR="001131F0" w:rsidRPr="001131F0" w:rsidRDefault="001131F0" w:rsidP="001F101A">
            <w:pPr>
              <w:pStyle w:val="FinancialsTableText"/>
              <w:jc w:val="right"/>
              <w:rPr>
                <w:b/>
                <w:bCs/>
                <w:lang w:val="en-GB"/>
              </w:rPr>
            </w:pPr>
            <w:r w:rsidRPr="001131F0">
              <w:rPr>
                <w:b/>
                <w:bCs/>
                <w:lang w:val="en-GB"/>
              </w:rPr>
              <w:t xml:space="preserve"> 48 </w:t>
            </w:r>
          </w:p>
        </w:tc>
        <w:tc>
          <w:tcPr>
            <w:tcW w:w="1100" w:type="dxa"/>
          </w:tcPr>
          <w:p w:rsidR="001131F0" w:rsidRPr="001F101A" w:rsidRDefault="001131F0" w:rsidP="001F101A">
            <w:pPr>
              <w:pStyle w:val="FinancialsTableText"/>
              <w:jc w:val="right"/>
              <w:rPr>
                <w:bCs/>
                <w:lang w:val="en-GB"/>
              </w:rPr>
            </w:pPr>
            <w:r w:rsidRPr="001F101A">
              <w:rPr>
                <w:bCs/>
                <w:lang w:val="en-GB"/>
              </w:rPr>
              <w:t xml:space="preserve"> 44 </w:t>
            </w:r>
          </w:p>
        </w:tc>
      </w:tr>
      <w:tr w:rsidR="001F101A" w:rsidTr="00603261">
        <w:trPr>
          <w:trHeight w:val="60"/>
        </w:trPr>
        <w:tc>
          <w:tcPr>
            <w:tcW w:w="7655" w:type="dxa"/>
          </w:tcPr>
          <w:p w:rsidR="001131F0" w:rsidRPr="001F101A" w:rsidRDefault="001131F0" w:rsidP="001F101A">
            <w:pPr>
              <w:pStyle w:val="FinancialsTableText"/>
              <w:rPr>
                <w:b/>
              </w:rPr>
            </w:pPr>
            <w:r w:rsidRPr="001F101A">
              <w:rPr>
                <w:b/>
              </w:rPr>
              <w:t>Total other non-financial assets</w:t>
            </w:r>
          </w:p>
        </w:tc>
        <w:tc>
          <w:tcPr>
            <w:tcW w:w="1100" w:type="dxa"/>
          </w:tcPr>
          <w:p w:rsidR="001131F0" w:rsidRPr="001131F0" w:rsidRDefault="001131F0" w:rsidP="001F101A">
            <w:pPr>
              <w:pStyle w:val="FinancialsTableText"/>
              <w:jc w:val="right"/>
              <w:rPr>
                <w:b/>
                <w:bCs/>
                <w:lang w:val="en-GB"/>
              </w:rPr>
            </w:pPr>
            <w:r w:rsidRPr="001131F0">
              <w:rPr>
                <w:b/>
                <w:bCs/>
                <w:lang w:val="en-GB"/>
              </w:rPr>
              <w:t xml:space="preserve"> 48 </w:t>
            </w:r>
          </w:p>
        </w:tc>
        <w:tc>
          <w:tcPr>
            <w:tcW w:w="1100" w:type="dxa"/>
          </w:tcPr>
          <w:p w:rsidR="001131F0" w:rsidRPr="001F101A" w:rsidRDefault="001131F0" w:rsidP="001F101A">
            <w:pPr>
              <w:pStyle w:val="FinancialsTableText"/>
              <w:jc w:val="right"/>
              <w:rPr>
                <w:bCs/>
                <w:lang w:val="en-GB"/>
              </w:rPr>
            </w:pPr>
            <w:r w:rsidRPr="001F101A">
              <w:rPr>
                <w:bCs/>
                <w:lang w:val="en-GB"/>
              </w:rPr>
              <w:t xml:space="preserve"> 44 </w:t>
            </w:r>
          </w:p>
        </w:tc>
      </w:tr>
    </w:tbl>
    <w:p w:rsidR="001131F0" w:rsidRDefault="001131F0" w:rsidP="001131F0">
      <w:pPr>
        <w:pStyle w:val="SourceNotesText"/>
      </w:pPr>
      <w:r w:rsidRPr="001131F0">
        <w:t>No indicators of impairment were found for other non-financial assets.</w:t>
      </w:r>
    </w:p>
    <w:p w:rsidR="001131F0" w:rsidRDefault="001131F0" w:rsidP="001131F0">
      <w:pPr>
        <w:pStyle w:val="FinancialsH2"/>
      </w:pPr>
      <w:r>
        <w:br w:type="page"/>
      </w:r>
    </w:p>
    <w:p w:rsidR="001131F0" w:rsidRDefault="001131F0" w:rsidP="001131F0">
      <w:pPr>
        <w:pStyle w:val="FinancialsH2"/>
      </w:pPr>
      <w:bookmarkStart w:id="30" w:name="_Toc433193210"/>
      <w:r>
        <w:lastRenderedPageBreak/>
        <w:t>Note 7: Fair value measurements</w:t>
      </w:r>
      <w:bookmarkEnd w:id="30"/>
    </w:p>
    <w:p w:rsidR="001131F0" w:rsidRDefault="001131F0" w:rsidP="001131F0">
      <w:r>
        <w:t>The following tables provide an analysis of assets and liabilities that are measured at fair value. The different levels of the fair value hierarchy are defined below.</w:t>
      </w:r>
    </w:p>
    <w:p w:rsidR="001131F0" w:rsidRDefault="001131F0" w:rsidP="001131F0">
      <w:pPr>
        <w:ind w:left="910" w:hanging="910"/>
      </w:pPr>
      <w:r w:rsidRPr="001131F0">
        <w:rPr>
          <w:b/>
        </w:rPr>
        <w:t>Level 1:</w:t>
      </w:r>
      <w:r>
        <w:t xml:space="preserve"> Quoted prices (unadjusted) in active markets for identical assets or liabilities that the entity can access at measurement date.</w:t>
      </w:r>
    </w:p>
    <w:p w:rsidR="001131F0" w:rsidRDefault="001131F0" w:rsidP="001131F0">
      <w:pPr>
        <w:ind w:left="910" w:hanging="910"/>
      </w:pPr>
      <w:r w:rsidRPr="001131F0">
        <w:rPr>
          <w:b/>
        </w:rPr>
        <w:t>Level 2:</w:t>
      </w:r>
      <w:r>
        <w:t xml:space="preserve"> Inputs other than quoted prices included within Level 1 that are observable for the asset or liability, either directly or indirectly.</w:t>
      </w:r>
    </w:p>
    <w:p w:rsidR="001131F0" w:rsidRDefault="001131F0" w:rsidP="001131F0">
      <w:pPr>
        <w:ind w:left="910" w:hanging="910"/>
      </w:pPr>
      <w:r w:rsidRPr="001131F0">
        <w:rPr>
          <w:b/>
        </w:rPr>
        <w:t>Level 3:</w:t>
      </w:r>
      <w:r>
        <w:t xml:space="preserve"> Unobservable inputs for the asset or liability.</w:t>
      </w:r>
    </w:p>
    <w:p w:rsidR="001131F0" w:rsidRDefault="003749CD" w:rsidP="003749CD">
      <w:pPr>
        <w:pStyle w:val="FinancialsTableH1"/>
        <w:spacing w:before="360"/>
      </w:pPr>
      <w:r w:rsidRPr="003749CD">
        <w:t>NOTE 7A: FAIR VALUE MEASUREMENTS, VALUATION TECHNIQUES AND INPUTS USED</w:t>
      </w:r>
    </w:p>
    <w:p w:rsidR="003749CD" w:rsidRDefault="003749CD" w:rsidP="003749CD">
      <w:pPr>
        <w:pStyle w:val="FinancialsTableH2"/>
      </w:pPr>
      <w:r w:rsidRPr="003749CD">
        <w:t>Fair value measurements at the end of the reporting period</w:t>
      </w:r>
      <w:r w:rsidRPr="00C41F10">
        <w:rPr>
          <w:vertAlign w:val="superscript"/>
        </w:rPr>
        <w:t>3</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Fair value measurements at the end of the reporting period"/>
      </w:tblPr>
      <w:tblGrid>
        <w:gridCol w:w="6946"/>
        <w:gridCol w:w="851"/>
        <w:gridCol w:w="850"/>
        <w:gridCol w:w="1208"/>
      </w:tblGrid>
      <w:tr w:rsidR="003749CD" w:rsidRPr="003749CD" w:rsidTr="005D1D13">
        <w:trPr>
          <w:cnfStyle w:val="100000000000" w:firstRow="1" w:lastRow="0" w:firstColumn="0" w:lastColumn="0" w:oddVBand="0" w:evenVBand="0" w:oddHBand="0" w:evenHBand="0" w:firstRowFirstColumn="0" w:firstRowLastColumn="0" w:lastRowFirstColumn="0" w:lastRowLastColumn="0"/>
          <w:trHeight w:val="60"/>
        </w:trPr>
        <w:tc>
          <w:tcPr>
            <w:tcW w:w="6946" w:type="dxa"/>
          </w:tcPr>
          <w:p w:rsidR="003749CD" w:rsidRPr="003749CD" w:rsidRDefault="003749CD" w:rsidP="002843E2">
            <w:pPr>
              <w:pStyle w:val="FinancialsTableText"/>
            </w:pPr>
          </w:p>
        </w:tc>
        <w:tc>
          <w:tcPr>
            <w:tcW w:w="851" w:type="dxa"/>
            <w:vAlign w:val="top"/>
          </w:tcPr>
          <w:p w:rsidR="003749CD" w:rsidRPr="003749CD" w:rsidRDefault="003749CD" w:rsidP="005D1D13">
            <w:pPr>
              <w:pStyle w:val="FinancialsTableText"/>
              <w:jc w:val="right"/>
              <w:rPr>
                <w:lang w:val="en-GB"/>
              </w:rPr>
            </w:pPr>
            <w:r w:rsidRPr="003749CD">
              <w:rPr>
                <w:bCs/>
                <w:lang w:val="en-GB"/>
              </w:rPr>
              <w:t>2015</w:t>
            </w:r>
            <w:r w:rsidR="002843E2">
              <w:rPr>
                <w:bCs/>
                <w:lang w:val="en-GB"/>
              </w:rPr>
              <w:br/>
            </w:r>
            <w:r w:rsidRPr="005D1D13">
              <w:rPr>
                <w:b w:val="0"/>
                <w:lang w:val="en-GB"/>
              </w:rPr>
              <w:t>$’000</w:t>
            </w:r>
          </w:p>
        </w:tc>
        <w:tc>
          <w:tcPr>
            <w:tcW w:w="850" w:type="dxa"/>
            <w:vAlign w:val="top"/>
          </w:tcPr>
          <w:p w:rsidR="003749CD" w:rsidRPr="003749CD" w:rsidRDefault="003749CD" w:rsidP="005D1D13">
            <w:pPr>
              <w:pStyle w:val="FinancialsTableText"/>
              <w:jc w:val="right"/>
              <w:rPr>
                <w:lang w:val="en-GB"/>
              </w:rPr>
            </w:pPr>
            <w:r w:rsidRPr="003749CD">
              <w:rPr>
                <w:bCs/>
                <w:lang w:val="en-GB"/>
              </w:rPr>
              <w:t>2014</w:t>
            </w:r>
            <w:r w:rsidR="002843E2">
              <w:rPr>
                <w:bCs/>
                <w:lang w:val="en-GB"/>
              </w:rPr>
              <w:br/>
            </w:r>
            <w:r w:rsidRPr="005D1D13">
              <w:rPr>
                <w:b w:val="0"/>
                <w:lang w:val="en-GB"/>
              </w:rPr>
              <w:t>$’000</w:t>
            </w:r>
          </w:p>
        </w:tc>
        <w:tc>
          <w:tcPr>
            <w:tcW w:w="1208" w:type="dxa"/>
            <w:vAlign w:val="top"/>
          </w:tcPr>
          <w:p w:rsidR="003749CD" w:rsidRPr="003749CD" w:rsidRDefault="003749CD" w:rsidP="005D1D13">
            <w:pPr>
              <w:pStyle w:val="FinancialsTableText"/>
              <w:jc w:val="center"/>
              <w:rPr>
                <w:bCs/>
                <w:lang w:val="en-GB"/>
              </w:rPr>
            </w:pPr>
            <w:r w:rsidRPr="003749CD">
              <w:rPr>
                <w:bCs/>
                <w:lang w:val="en-GB"/>
              </w:rPr>
              <w:t xml:space="preserve">Category </w:t>
            </w:r>
            <w:r w:rsidRPr="005D1D13">
              <w:rPr>
                <w:b w:val="0"/>
                <w:bCs/>
                <w:lang w:val="en-GB"/>
              </w:rPr>
              <w:t>(Level 1, 2 or 3)</w:t>
            </w:r>
            <w:r w:rsidRPr="005D1D13">
              <w:rPr>
                <w:b w:val="0"/>
                <w:bCs/>
                <w:vertAlign w:val="superscript"/>
                <w:lang w:val="en-GB"/>
              </w:rPr>
              <w:t>4</w:t>
            </w:r>
          </w:p>
        </w:tc>
      </w:tr>
      <w:tr w:rsidR="003749CD" w:rsidRPr="003749CD" w:rsidTr="002843E2">
        <w:trPr>
          <w:trHeight w:val="60"/>
        </w:trPr>
        <w:tc>
          <w:tcPr>
            <w:tcW w:w="9855" w:type="dxa"/>
            <w:gridSpan w:val="4"/>
          </w:tcPr>
          <w:p w:rsidR="003749CD" w:rsidRPr="003749CD" w:rsidRDefault="003749CD" w:rsidP="002843E2">
            <w:pPr>
              <w:pStyle w:val="FinancialsTableH2"/>
              <w:rPr>
                <w:lang w:val="en-GB"/>
              </w:rPr>
            </w:pPr>
            <w:r w:rsidRPr="003749CD">
              <w:rPr>
                <w:lang w:val="en-GB"/>
              </w:rPr>
              <w:t>Non-financial assets</w:t>
            </w:r>
          </w:p>
        </w:tc>
      </w:tr>
      <w:tr w:rsidR="003749CD" w:rsidRPr="003749CD" w:rsidTr="002843E2">
        <w:trPr>
          <w:trHeight w:val="60"/>
        </w:trPr>
        <w:tc>
          <w:tcPr>
            <w:tcW w:w="6946" w:type="dxa"/>
          </w:tcPr>
          <w:p w:rsidR="003749CD" w:rsidRPr="003749CD" w:rsidRDefault="003749CD" w:rsidP="002843E2">
            <w:pPr>
              <w:pStyle w:val="FinancialsTableTextIndented"/>
              <w:rPr>
                <w:lang w:val="en-GB"/>
              </w:rPr>
            </w:pPr>
            <w:r w:rsidRPr="003749CD">
              <w:rPr>
                <w:lang w:val="en-GB"/>
              </w:rPr>
              <w:t>Leasehold improvements</w:t>
            </w:r>
          </w:p>
        </w:tc>
        <w:tc>
          <w:tcPr>
            <w:tcW w:w="851" w:type="dxa"/>
          </w:tcPr>
          <w:p w:rsidR="003749CD" w:rsidRPr="003749CD" w:rsidRDefault="003749CD" w:rsidP="002843E2">
            <w:pPr>
              <w:pStyle w:val="FinancialsTableText"/>
              <w:jc w:val="right"/>
              <w:rPr>
                <w:b/>
                <w:bCs/>
                <w:lang w:val="en-GB"/>
              </w:rPr>
            </w:pPr>
            <w:r w:rsidRPr="003749CD">
              <w:rPr>
                <w:b/>
                <w:bCs/>
                <w:lang w:val="en-GB"/>
              </w:rPr>
              <w:t xml:space="preserve"> 596 </w:t>
            </w:r>
          </w:p>
        </w:tc>
        <w:tc>
          <w:tcPr>
            <w:tcW w:w="850" w:type="dxa"/>
          </w:tcPr>
          <w:p w:rsidR="003749CD" w:rsidRPr="003749CD" w:rsidRDefault="003749CD" w:rsidP="002843E2">
            <w:pPr>
              <w:pStyle w:val="FinancialsTableText"/>
              <w:jc w:val="right"/>
              <w:rPr>
                <w:lang w:val="en-GB"/>
              </w:rPr>
            </w:pPr>
            <w:r w:rsidRPr="003749CD">
              <w:rPr>
                <w:lang w:val="en-GB"/>
              </w:rPr>
              <w:t xml:space="preserve"> 796 </w:t>
            </w:r>
          </w:p>
        </w:tc>
        <w:tc>
          <w:tcPr>
            <w:tcW w:w="1208" w:type="dxa"/>
          </w:tcPr>
          <w:p w:rsidR="003749CD" w:rsidRPr="003749CD" w:rsidRDefault="003749CD" w:rsidP="002843E2">
            <w:pPr>
              <w:pStyle w:val="FinancialsTableText"/>
              <w:jc w:val="center"/>
              <w:rPr>
                <w:lang w:val="en-GB"/>
              </w:rPr>
            </w:pPr>
            <w:r w:rsidRPr="003749CD">
              <w:rPr>
                <w:lang w:val="en-GB"/>
              </w:rPr>
              <w:t>3</w:t>
            </w:r>
          </w:p>
        </w:tc>
      </w:tr>
      <w:tr w:rsidR="003749CD" w:rsidRPr="003749CD" w:rsidTr="001E38FB">
        <w:trPr>
          <w:trHeight w:val="99"/>
        </w:trPr>
        <w:tc>
          <w:tcPr>
            <w:tcW w:w="6946" w:type="dxa"/>
          </w:tcPr>
          <w:p w:rsidR="003749CD" w:rsidRPr="003749CD" w:rsidRDefault="003749CD" w:rsidP="002843E2">
            <w:pPr>
              <w:pStyle w:val="FinancialsTableTextIndented"/>
              <w:rPr>
                <w:lang w:val="en-GB"/>
              </w:rPr>
            </w:pPr>
            <w:r w:rsidRPr="003749CD">
              <w:rPr>
                <w:lang w:val="en-GB"/>
              </w:rPr>
              <w:t>Property, plant and equipment</w:t>
            </w:r>
          </w:p>
        </w:tc>
        <w:tc>
          <w:tcPr>
            <w:tcW w:w="851" w:type="dxa"/>
          </w:tcPr>
          <w:p w:rsidR="003749CD" w:rsidRPr="003749CD" w:rsidRDefault="003749CD" w:rsidP="002843E2">
            <w:pPr>
              <w:pStyle w:val="FinancialsTableText"/>
              <w:jc w:val="right"/>
              <w:rPr>
                <w:b/>
                <w:bCs/>
                <w:lang w:val="en-GB"/>
              </w:rPr>
            </w:pPr>
            <w:r w:rsidRPr="003749CD">
              <w:rPr>
                <w:b/>
                <w:bCs/>
                <w:lang w:val="en-GB"/>
              </w:rPr>
              <w:t xml:space="preserve"> 348 </w:t>
            </w:r>
          </w:p>
        </w:tc>
        <w:tc>
          <w:tcPr>
            <w:tcW w:w="850" w:type="dxa"/>
          </w:tcPr>
          <w:p w:rsidR="003749CD" w:rsidRPr="003749CD" w:rsidRDefault="003749CD" w:rsidP="002843E2">
            <w:pPr>
              <w:pStyle w:val="FinancialsTableText"/>
              <w:jc w:val="right"/>
              <w:rPr>
                <w:lang w:val="en-GB"/>
              </w:rPr>
            </w:pPr>
            <w:r w:rsidRPr="003749CD">
              <w:rPr>
                <w:lang w:val="en-GB"/>
              </w:rPr>
              <w:t xml:space="preserve"> 264 </w:t>
            </w:r>
          </w:p>
        </w:tc>
        <w:tc>
          <w:tcPr>
            <w:tcW w:w="1208" w:type="dxa"/>
          </w:tcPr>
          <w:p w:rsidR="003749CD" w:rsidRPr="003749CD" w:rsidRDefault="003749CD" w:rsidP="002843E2">
            <w:pPr>
              <w:pStyle w:val="FinancialsTableText"/>
              <w:jc w:val="center"/>
              <w:rPr>
                <w:lang w:val="en-GB"/>
              </w:rPr>
            </w:pPr>
            <w:r w:rsidRPr="003749CD">
              <w:rPr>
                <w:lang w:val="en-GB"/>
              </w:rPr>
              <w:t>2</w:t>
            </w:r>
          </w:p>
        </w:tc>
      </w:tr>
      <w:tr w:rsidR="003749CD" w:rsidRPr="003749CD" w:rsidTr="002843E2">
        <w:trPr>
          <w:trHeight w:val="60"/>
        </w:trPr>
        <w:tc>
          <w:tcPr>
            <w:tcW w:w="6946" w:type="dxa"/>
          </w:tcPr>
          <w:p w:rsidR="003749CD" w:rsidRPr="003749CD" w:rsidRDefault="003749CD" w:rsidP="002843E2">
            <w:pPr>
              <w:pStyle w:val="FinancialsTableText"/>
              <w:rPr>
                <w:b/>
                <w:bCs/>
                <w:lang w:val="en-GB"/>
              </w:rPr>
            </w:pPr>
            <w:r w:rsidRPr="003749CD">
              <w:rPr>
                <w:b/>
                <w:bCs/>
                <w:lang w:val="en-GB"/>
              </w:rPr>
              <w:t>Total non-financial assets</w:t>
            </w:r>
          </w:p>
        </w:tc>
        <w:tc>
          <w:tcPr>
            <w:tcW w:w="851" w:type="dxa"/>
          </w:tcPr>
          <w:p w:rsidR="003749CD" w:rsidRPr="003749CD" w:rsidRDefault="003749CD" w:rsidP="002843E2">
            <w:pPr>
              <w:pStyle w:val="FinancialsTableText"/>
              <w:jc w:val="right"/>
              <w:rPr>
                <w:b/>
                <w:bCs/>
                <w:lang w:val="en-GB"/>
              </w:rPr>
            </w:pPr>
            <w:r w:rsidRPr="003749CD">
              <w:rPr>
                <w:b/>
                <w:bCs/>
                <w:lang w:val="en-GB"/>
              </w:rPr>
              <w:t xml:space="preserve"> 944 </w:t>
            </w:r>
          </w:p>
        </w:tc>
        <w:tc>
          <w:tcPr>
            <w:tcW w:w="850" w:type="dxa"/>
          </w:tcPr>
          <w:p w:rsidR="003749CD" w:rsidRPr="003749CD" w:rsidRDefault="003749CD" w:rsidP="002843E2">
            <w:pPr>
              <w:pStyle w:val="FinancialsTableText"/>
              <w:jc w:val="right"/>
              <w:rPr>
                <w:lang w:val="en-GB"/>
              </w:rPr>
            </w:pPr>
            <w:r w:rsidRPr="003749CD">
              <w:rPr>
                <w:lang w:val="en-GB"/>
              </w:rPr>
              <w:t xml:space="preserve"> 1,060 </w:t>
            </w:r>
          </w:p>
        </w:tc>
        <w:tc>
          <w:tcPr>
            <w:tcW w:w="1208" w:type="dxa"/>
          </w:tcPr>
          <w:p w:rsidR="003749CD" w:rsidRPr="003749CD" w:rsidRDefault="003749CD" w:rsidP="002843E2">
            <w:pPr>
              <w:pStyle w:val="FinancialsTableText"/>
              <w:jc w:val="center"/>
            </w:pPr>
          </w:p>
        </w:tc>
      </w:tr>
      <w:tr w:rsidR="003749CD" w:rsidRPr="003749CD" w:rsidTr="002843E2">
        <w:trPr>
          <w:trHeight w:val="60"/>
        </w:trPr>
        <w:tc>
          <w:tcPr>
            <w:tcW w:w="9855" w:type="dxa"/>
            <w:gridSpan w:val="4"/>
          </w:tcPr>
          <w:p w:rsidR="003749CD" w:rsidRPr="003749CD" w:rsidRDefault="003749CD" w:rsidP="002843E2">
            <w:pPr>
              <w:pStyle w:val="FinancialsTableH2"/>
              <w:rPr>
                <w:lang w:val="en-GB"/>
              </w:rPr>
            </w:pPr>
            <w:r w:rsidRPr="003749CD">
              <w:rPr>
                <w:lang w:val="en-GB"/>
              </w:rPr>
              <w:t>Assets not measured at fair value in the statement of financial position:</w:t>
            </w:r>
          </w:p>
        </w:tc>
      </w:tr>
      <w:tr w:rsidR="003749CD" w:rsidRPr="003749CD" w:rsidTr="002843E2">
        <w:trPr>
          <w:trHeight w:val="60"/>
        </w:trPr>
        <w:tc>
          <w:tcPr>
            <w:tcW w:w="6946" w:type="dxa"/>
          </w:tcPr>
          <w:p w:rsidR="003749CD" w:rsidRPr="002843E2" w:rsidRDefault="003749CD" w:rsidP="002843E2">
            <w:pPr>
              <w:pStyle w:val="FinancialsTableText"/>
            </w:pPr>
            <w:r w:rsidRPr="002843E2">
              <w:t>Non-financial assets</w:t>
            </w:r>
            <w:r w:rsidRPr="002843E2">
              <w:rPr>
                <w:vertAlign w:val="superscript"/>
              </w:rPr>
              <w:t>1</w:t>
            </w:r>
          </w:p>
        </w:tc>
        <w:tc>
          <w:tcPr>
            <w:tcW w:w="851" w:type="dxa"/>
          </w:tcPr>
          <w:p w:rsidR="003749CD" w:rsidRPr="003749CD" w:rsidRDefault="003749CD" w:rsidP="002843E2">
            <w:pPr>
              <w:pStyle w:val="FinancialsTableText"/>
              <w:jc w:val="right"/>
              <w:rPr>
                <w:b/>
                <w:bCs/>
                <w:lang w:val="en-GB"/>
              </w:rPr>
            </w:pPr>
            <w:r w:rsidRPr="003749CD">
              <w:rPr>
                <w:b/>
                <w:bCs/>
                <w:lang w:val="en-GB"/>
              </w:rPr>
              <w:t xml:space="preserve"> – </w:t>
            </w:r>
          </w:p>
        </w:tc>
        <w:tc>
          <w:tcPr>
            <w:tcW w:w="850" w:type="dxa"/>
          </w:tcPr>
          <w:p w:rsidR="003749CD" w:rsidRPr="003749CD" w:rsidRDefault="003749CD" w:rsidP="002843E2">
            <w:pPr>
              <w:pStyle w:val="FinancialsTableText"/>
              <w:jc w:val="right"/>
              <w:rPr>
                <w:lang w:val="en-GB"/>
              </w:rPr>
            </w:pPr>
            <w:r w:rsidRPr="003749CD">
              <w:rPr>
                <w:lang w:val="en-GB"/>
              </w:rPr>
              <w:t xml:space="preserve"> – </w:t>
            </w:r>
          </w:p>
        </w:tc>
        <w:tc>
          <w:tcPr>
            <w:tcW w:w="1208" w:type="dxa"/>
          </w:tcPr>
          <w:p w:rsidR="003749CD" w:rsidRPr="003749CD" w:rsidRDefault="003749CD" w:rsidP="002843E2">
            <w:pPr>
              <w:pStyle w:val="FinancialsTableText"/>
              <w:jc w:val="center"/>
            </w:pPr>
          </w:p>
        </w:tc>
      </w:tr>
      <w:tr w:rsidR="003749CD" w:rsidRPr="003749CD" w:rsidTr="002843E2">
        <w:trPr>
          <w:trHeight w:val="60"/>
        </w:trPr>
        <w:tc>
          <w:tcPr>
            <w:tcW w:w="6946" w:type="dxa"/>
          </w:tcPr>
          <w:p w:rsidR="003749CD" w:rsidRPr="00D36FE0" w:rsidRDefault="003749CD" w:rsidP="002843E2">
            <w:pPr>
              <w:pStyle w:val="FinancialsTableText"/>
              <w:rPr>
                <w:rStyle w:val="Strong"/>
              </w:rPr>
            </w:pPr>
            <w:r w:rsidRPr="00D36FE0">
              <w:rPr>
                <w:rStyle w:val="Strong"/>
              </w:rPr>
              <w:t>Total fair value measurements of assets in the statement of financial position</w:t>
            </w:r>
          </w:p>
        </w:tc>
        <w:tc>
          <w:tcPr>
            <w:tcW w:w="851" w:type="dxa"/>
          </w:tcPr>
          <w:p w:rsidR="003749CD" w:rsidRPr="003749CD" w:rsidRDefault="003749CD" w:rsidP="002843E2">
            <w:pPr>
              <w:pStyle w:val="FinancialsTableText"/>
              <w:jc w:val="right"/>
              <w:rPr>
                <w:b/>
                <w:bCs/>
                <w:lang w:val="en-GB"/>
              </w:rPr>
            </w:pPr>
            <w:r w:rsidRPr="003749CD">
              <w:rPr>
                <w:b/>
                <w:bCs/>
                <w:lang w:val="en-GB"/>
              </w:rPr>
              <w:t xml:space="preserve"> 944 </w:t>
            </w:r>
          </w:p>
        </w:tc>
        <w:tc>
          <w:tcPr>
            <w:tcW w:w="850" w:type="dxa"/>
          </w:tcPr>
          <w:p w:rsidR="003749CD" w:rsidRPr="003749CD" w:rsidRDefault="003749CD" w:rsidP="002843E2">
            <w:pPr>
              <w:pStyle w:val="FinancialsTableText"/>
              <w:jc w:val="right"/>
              <w:rPr>
                <w:lang w:val="en-GB"/>
              </w:rPr>
            </w:pPr>
            <w:r w:rsidRPr="003749CD">
              <w:rPr>
                <w:lang w:val="en-GB"/>
              </w:rPr>
              <w:t xml:space="preserve"> 1,060 </w:t>
            </w:r>
          </w:p>
        </w:tc>
        <w:tc>
          <w:tcPr>
            <w:tcW w:w="1208" w:type="dxa"/>
          </w:tcPr>
          <w:p w:rsidR="003749CD" w:rsidRPr="003749CD" w:rsidRDefault="003749CD" w:rsidP="002843E2">
            <w:pPr>
              <w:pStyle w:val="FinancialsTableText"/>
              <w:jc w:val="center"/>
            </w:pPr>
          </w:p>
        </w:tc>
      </w:tr>
    </w:tbl>
    <w:p w:rsidR="003749CD" w:rsidRDefault="003749CD" w:rsidP="003749CD">
      <w:pPr>
        <w:pStyle w:val="FinancialsTableH2"/>
      </w:pPr>
      <w:r w:rsidRPr="003749CD">
        <w:t>For Levels 2 and 3 fair value measurements</w:t>
      </w:r>
    </w:p>
    <w:tbl>
      <w:tblPr>
        <w:tblStyle w:val="DefaultTable"/>
        <w:tblW w:w="0" w:type="auto"/>
        <w:tblBorders>
          <w:top w:val="single" w:sz="4" w:space="0" w:color="auto"/>
          <w:insideH w:val="single" w:sz="4" w:space="0" w:color="auto"/>
        </w:tblBorders>
        <w:tblLayout w:type="fixed"/>
        <w:tblLook w:val="0220" w:firstRow="1" w:lastRow="0" w:firstColumn="0" w:lastColumn="0" w:noHBand="1" w:noVBand="0"/>
        <w:tblDescription w:val="For Levels 2 and 3 fair value measurements"/>
      </w:tblPr>
      <w:tblGrid>
        <w:gridCol w:w="2693"/>
        <w:gridCol w:w="2694"/>
        <w:gridCol w:w="1559"/>
        <w:gridCol w:w="2909"/>
      </w:tblGrid>
      <w:tr w:rsidR="003749CD" w:rsidRPr="003749CD" w:rsidTr="00204B17">
        <w:trPr>
          <w:cnfStyle w:val="100000000000" w:firstRow="1" w:lastRow="0" w:firstColumn="0" w:lastColumn="0" w:oddVBand="0" w:evenVBand="0" w:oddHBand="0" w:evenHBand="0" w:firstRowFirstColumn="0" w:firstRowLastColumn="0" w:lastRowFirstColumn="0" w:lastRowLastColumn="0"/>
          <w:trHeight w:val="60"/>
        </w:trPr>
        <w:tc>
          <w:tcPr>
            <w:tcW w:w="2693" w:type="dxa"/>
          </w:tcPr>
          <w:p w:rsidR="003749CD" w:rsidRPr="003749CD" w:rsidRDefault="003749CD" w:rsidP="00204B17">
            <w:pPr>
              <w:pStyle w:val="FinancialsTableText"/>
              <w:rPr>
                <w:lang w:val="en-GB"/>
              </w:rPr>
            </w:pPr>
            <w:r w:rsidRPr="003749CD">
              <w:rPr>
                <w:lang w:val="en-GB"/>
              </w:rPr>
              <w:t>Valuation technique(s)</w:t>
            </w:r>
            <w:r w:rsidRPr="003749CD">
              <w:rPr>
                <w:vertAlign w:val="superscript"/>
                <w:lang w:val="en-GB"/>
              </w:rPr>
              <w:t>2</w:t>
            </w:r>
          </w:p>
        </w:tc>
        <w:tc>
          <w:tcPr>
            <w:tcW w:w="2694" w:type="dxa"/>
          </w:tcPr>
          <w:p w:rsidR="003749CD" w:rsidRPr="003749CD" w:rsidRDefault="003749CD" w:rsidP="00204B17">
            <w:pPr>
              <w:pStyle w:val="FinancialsTableText"/>
              <w:rPr>
                <w:lang w:val="en-GB"/>
              </w:rPr>
            </w:pPr>
            <w:r w:rsidRPr="003749CD">
              <w:rPr>
                <w:lang w:val="en-GB"/>
              </w:rPr>
              <w:t>Inputs used</w:t>
            </w:r>
          </w:p>
        </w:tc>
        <w:tc>
          <w:tcPr>
            <w:tcW w:w="1559" w:type="dxa"/>
          </w:tcPr>
          <w:p w:rsidR="003749CD" w:rsidRPr="003749CD" w:rsidRDefault="003749CD" w:rsidP="00204B17">
            <w:pPr>
              <w:pStyle w:val="FinancialsTableText"/>
              <w:rPr>
                <w:lang w:val="en-GB"/>
              </w:rPr>
            </w:pPr>
            <w:r w:rsidRPr="003749CD">
              <w:rPr>
                <w:lang w:val="en-GB"/>
              </w:rPr>
              <w:t>Range (weighted average)</w:t>
            </w:r>
          </w:p>
        </w:tc>
        <w:tc>
          <w:tcPr>
            <w:tcW w:w="2909" w:type="dxa"/>
          </w:tcPr>
          <w:p w:rsidR="003749CD" w:rsidRPr="003749CD" w:rsidRDefault="003749CD" w:rsidP="00204B17">
            <w:pPr>
              <w:pStyle w:val="FinancialsTableText"/>
              <w:rPr>
                <w:lang w:val="en-GB"/>
              </w:rPr>
            </w:pPr>
            <w:r w:rsidRPr="003749CD">
              <w:rPr>
                <w:lang w:val="en-GB"/>
              </w:rPr>
              <w:t>Sensitivity of the fair value measurement to changes in unobservable inputs</w:t>
            </w:r>
          </w:p>
        </w:tc>
      </w:tr>
      <w:tr w:rsidR="003749CD" w:rsidRPr="003749CD" w:rsidTr="00204B17">
        <w:trPr>
          <w:trHeight w:val="60"/>
        </w:trPr>
        <w:tc>
          <w:tcPr>
            <w:tcW w:w="2693" w:type="dxa"/>
            <w:vMerge w:val="restart"/>
          </w:tcPr>
          <w:p w:rsidR="003749CD" w:rsidRPr="003749CD" w:rsidRDefault="003749CD" w:rsidP="00204B17">
            <w:pPr>
              <w:pStyle w:val="FinancialsTableText"/>
              <w:rPr>
                <w:lang w:val="en-GB"/>
              </w:rPr>
            </w:pPr>
            <w:r w:rsidRPr="003749CD">
              <w:rPr>
                <w:lang w:val="en-GB"/>
              </w:rPr>
              <w:t xml:space="preserve">Depreciated Replacement Cost (DRC) </w:t>
            </w:r>
          </w:p>
        </w:tc>
        <w:tc>
          <w:tcPr>
            <w:tcW w:w="2694" w:type="dxa"/>
          </w:tcPr>
          <w:p w:rsidR="003749CD" w:rsidRPr="003749CD" w:rsidRDefault="003749CD" w:rsidP="00204B17">
            <w:pPr>
              <w:pStyle w:val="FinancialsTableText"/>
              <w:rPr>
                <w:lang w:val="en-GB"/>
              </w:rPr>
            </w:pPr>
            <w:r w:rsidRPr="003749CD">
              <w:rPr>
                <w:lang w:val="en-GB"/>
              </w:rPr>
              <w:t>Replacement Cost New (price per square metre)</w:t>
            </w:r>
          </w:p>
        </w:tc>
        <w:tc>
          <w:tcPr>
            <w:tcW w:w="1559" w:type="dxa"/>
          </w:tcPr>
          <w:p w:rsidR="003749CD" w:rsidRPr="003749CD" w:rsidRDefault="003749CD" w:rsidP="00204B17">
            <w:pPr>
              <w:pStyle w:val="FinancialsTableText"/>
              <w:rPr>
                <w:lang w:val="en-GB"/>
              </w:rPr>
            </w:pPr>
            <w:r w:rsidRPr="003749CD">
              <w:rPr>
                <w:lang w:val="en-GB"/>
              </w:rPr>
              <w:t>n/a</w:t>
            </w:r>
          </w:p>
        </w:tc>
        <w:tc>
          <w:tcPr>
            <w:tcW w:w="2909" w:type="dxa"/>
            <w:vMerge w:val="restart"/>
          </w:tcPr>
          <w:p w:rsidR="003749CD" w:rsidRPr="003749CD" w:rsidRDefault="003749CD" w:rsidP="00204B17">
            <w:pPr>
              <w:pStyle w:val="FinancialsTableText"/>
              <w:rPr>
                <w:lang w:val="en-GB"/>
              </w:rPr>
            </w:pPr>
            <w:r w:rsidRPr="003749CD">
              <w:rPr>
                <w:lang w:val="en-GB"/>
              </w:rPr>
              <w:t>Net present value of the current obligation determined as a price per square metre</w:t>
            </w:r>
          </w:p>
        </w:tc>
      </w:tr>
      <w:tr w:rsidR="003749CD" w:rsidRPr="003749CD" w:rsidTr="00204B17">
        <w:trPr>
          <w:trHeight w:val="113"/>
        </w:trPr>
        <w:tc>
          <w:tcPr>
            <w:tcW w:w="2693" w:type="dxa"/>
            <w:vMerge/>
          </w:tcPr>
          <w:p w:rsidR="003749CD" w:rsidRPr="003749CD" w:rsidRDefault="003749CD" w:rsidP="00204B17">
            <w:pPr>
              <w:pStyle w:val="FinancialsTableText"/>
            </w:pPr>
          </w:p>
        </w:tc>
        <w:tc>
          <w:tcPr>
            <w:tcW w:w="2694" w:type="dxa"/>
          </w:tcPr>
          <w:p w:rsidR="003749CD" w:rsidRPr="003749CD" w:rsidRDefault="003749CD" w:rsidP="00204B17">
            <w:pPr>
              <w:pStyle w:val="FinancialsTableText"/>
              <w:rPr>
                <w:lang w:val="en-GB"/>
              </w:rPr>
            </w:pPr>
            <w:r w:rsidRPr="003749CD">
              <w:rPr>
                <w:lang w:val="en-GB"/>
              </w:rPr>
              <w:t>Consumed economic benefit/Obsolescence of asset</w:t>
            </w:r>
          </w:p>
        </w:tc>
        <w:tc>
          <w:tcPr>
            <w:tcW w:w="1559" w:type="dxa"/>
          </w:tcPr>
          <w:p w:rsidR="003749CD" w:rsidRPr="003749CD" w:rsidRDefault="003749CD" w:rsidP="00204B17">
            <w:pPr>
              <w:pStyle w:val="FinancialsTableText"/>
              <w:rPr>
                <w:lang w:val="en-GB"/>
              </w:rPr>
            </w:pPr>
            <w:r w:rsidRPr="003749CD">
              <w:rPr>
                <w:lang w:val="en-GB"/>
              </w:rPr>
              <w:t>16.67% per annum</w:t>
            </w:r>
          </w:p>
        </w:tc>
        <w:tc>
          <w:tcPr>
            <w:tcW w:w="2909" w:type="dxa"/>
            <w:vMerge/>
          </w:tcPr>
          <w:p w:rsidR="003749CD" w:rsidRPr="003749CD" w:rsidRDefault="003749CD" w:rsidP="00204B17">
            <w:pPr>
              <w:pStyle w:val="FinancialsTableText"/>
            </w:pPr>
          </w:p>
        </w:tc>
      </w:tr>
      <w:tr w:rsidR="003749CD" w:rsidRPr="003749CD" w:rsidTr="00204B17">
        <w:trPr>
          <w:trHeight w:val="60"/>
        </w:trPr>
        <w:tc>
          <w:tcPr>
            <w:tcW w:w="2693" w:type="dxa"/>
          </w:tcPr>
          <w:p w:rsidR="003749CD" w:rsidRPr="003749CD" w:rsidRDefault="003749CD" w:rsidP="00204B17">
            <w:pPr>
              <w:pStyle w:val="FinancialsTableText"/>
              <w:rPr>
                <w:lang w:val="en-GB"/>
              </w:rPr>
            </w:pPr>
            <w:r w:rsidRPr="003749CD">
              <w:rPr>
                <w:lang w:val="en-GB"/>
              </w:rPr>
              <w:t xml:space="preserve">Market Approach </w:t>
            </w:r>
          </w:p>
        </w:tc>
        <w:tc>
          <w:tcPr>
            <w:tcW w:w="2694" w:type="dxa"/>
          </w:tcPr>
          <w:p w:rsidR="003749CD" w:rsidRPr="003749CD" w:rsidRDefault="003749CD" w:rsidP="00204B17">
            <w:pPr>
              <w:pStyle w:val="FinancialsTableText"/>
              <w:rPr>
                <w:lang w:val="en-GB"/>
              </w:rPr>
            </w:pPr>
            <w:r w:rsidRPr="003749CD">
              <w:rPr>
                <w:lang w:val="en-GB"/>
              </w:rPr>
              <w:t>Adjusted market transactions</w:t>
            </w:r>
          </w:p>
        </w:tc>
        <w:tc>
          <w:tcPr>
            <w:tcW w:w="1559" w:type="dxa"/>
          </w:tcPr>
          <w:p w:rsidR="003749CD" w:rsidRPr="003749CD" w:rsidRDefault="003749CD" w:rsidP="00204B17">
            <w:pPr>
              <w:pStyle w:val="FinancialsTableText"/>
              <w:rPr>
                <w:lang w:val="en-GB"/>
              </w:rPr>
            </w:pPr>
            <w:r w:rsidRPr="003749CD">
              <w:rPr>
                <w:lang w:val="en-GB"/>
              </w:rPr>
              <w:t>n/a</w:t>
            </w:r>
          </w:p>
        </w:tc>
        <w:tc>
          <w:tcPr>
            <w:tcW w:w="2909" w:type="dxa"/>
            <w:vMerge/>
          </w:tcPr>
          <w:p w:rsidR="003749CD" w:rsidRPr="003749CD" w:rsidRDefault="003749CD" w:rsidP="00204B17">
            <w:pPr>
              <w:pStyle w:val="FinancialsTableText"/>
            </w:pPr>
          </w:p>
        </w:tc>
      </w:tr>
    </w:tbl>
    <w:p w:rsidR="003749CD" w:rsidRPr="003749CD" w:rsidRDefault="003749CD" w:rsidP="003749CD">
      <w:pPr>
        <w:pStyle w:val="SourceNotesText"/>
        <w:rPr>
          <w:b/>
          <w:lang w:val="en-GB"/>
        </w:rPr>
      </w:pPr>
      <w:r w:rsidRPr="003749CD">
        <w:rPr>
          <w:b/>
          <w:lang w:val="en-GB"/>
        </w:rPr>
        <w:t>Notes</w:t>
      </w:r>
    </w:p>
    <w:p w:rsidR="003749CD" w:rsidRPr="003749CD" w:rsidRDefault="003749CD" w:rsidP="003749CD">
      <w:pPr>
        <w:pStyle w:val="SourceNotesText"/>
        <w:rPr>
          <w:lang w:val="en-GB"/>
        </w:rPr>
      </w:pPr>
      <w:r w:rsidRPr="003749CD">
        <w:rPr>
          <w:lang w:val="en-GB"/>
        </w:rPr>
        <w:t>1. IHPA did not remeasure non-financial assets at fair value on a non-recurring basis at 30 June 2015.</w:t>
      </w:r>
    </w:p>
    <w:p w:rsidR="003749CD" w:rsidRPr="003749CD" w:rsidRDefault="003749CD" w:rsidP="003749CD">
      <w:pPr>
        <w:pStyle w:val="SourceNotesText"/>
        <w:rPr>
          <w:lang w:val="en-GB"/>
        </w:rPr>
      </w:pPr>
      <w:r w:rsidRPr="003749CD">
        <w:rPr>
          <w:lang w:val="en-GB"/>
        </w:rPr>
        <w:t>2. No change in valuation technique occurred during the period.</w:t>
      </w:r>
    </w:p>
    <w:p w:rsidR="003749CD" w:rsidRPr="003749CD" w:rsidRDefault="003749CD" w:rsidP="003749CD">
      <w:pPr>
        <w:pStyle w:val="SourceNotesText"/>
        <w:rPr>
          <w:lang w:val="en-GB"/>
        </w:rPr>
      </w:pPr>
      <w:r w:rsidRPr="003749CD">
        <w:rPr>
          <w:b/>
          <w:lang w:val="en-GB"/>
        </w:rPr>
        <w:t>3. Fair value measurements – highest and best use differs from current use for non-financial assets (NFAs)</w:t>
      </w:r>
      <w:r>
        <w:rPr>
          <w:b/>
          <w:lang w:val="en-GB"/>
        </w:rPr>
        <w:br/>
      </w:r>
      <w:r w:rsidRPr="003749CD">
        <w:rPr>
          <w:lang w:val="en-GB"/>
        </w:rPr>
        <w:t>IHPAs assets are held for operational purposes and not held for the purposes of deriving a profit. The current use of all controlled assets is considered their highest and best use. This is consistent with the treatment in 2014.</w:t>
      </w:r>
    </w:p>
    <w:p w:rsidR="003749CD" w:rsidRPr="003749CD" w:rsidRDefault="003749CD" w:rsidP="003749CD">
      <w:pPr>
        <w:pStyle w:val="SourceNotesText"/>
        <w:rPr>
          <w:lang w:val="en-US"/>
        </w:rPr>
      </w:pPr>
      <w:r w:rsidRPr="003749CD">
        <w:rPr>
          <w:b/>
          <w:lang w:val="en-GB"/>
        </w:rPr>
        <w:t>4. Recurring and non-recurring Level 3 fair value measurements – valuation processes</w:t>
      </w:r>
      <w:r>
        <w:rPr>
          <w:b/>
          <w:lang w:val="en-GB"/>
        </w:rPr>
        <w:br/>
      </w:r>
      <w:r w:rsidRPr="003749CD">
        <w:rPr>
          <w:lang w:val="en-GB"/>
        </w:rPr>
        <w:t>IHPA undertook a comprehensive valuation of all its non-financial assets at 30 June 2014. IHPA tests the procedures of the valuation model as an internal management review at least once every 12 months (with a formal revaluation undertaken once every three years). If a particular asset class experiences significant and volatile changes in fair value (i.e. where indicators suggest that the value of the class has changed materially since the previous reporting period), that class is subject to specific valuation in the reporting period, where practicable, regardless of the timing of the last specific valuation. IHPA has engaged Australian Valuation Solutions (AVS) to provided written assurance that the models developed comply with AASB 13.</w:t>
      </w:r>
    </w:p>
    <w:p w:rsidR="008B0470" w:rsidRDefault="008B0470" w:rsidP="008B0470">
      <w:r>
        <w:br w:type="page"/>
      </w:r>
    </w:p>
    <w:p w:rsidR="003749CD" w:rsidRDefault="008B0470" w:rsidP="008B0470">
      <w:pPr>
        <w:pStyle w:val="FinancialsH2"/>
      </w:pPr>
      <w:bookmarkStart w:id="31" w:name="_Toc433193211"/>
      <w:r w:rsidRPr="008B0470">
        <w:lastRenderedPageBreak/>
        <w:t>Note 8: Payables</w:t>
      </w:r>
      <w:bookmarkEnd w:id="31"/>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Payables"/>
      </w:tblPr>
      <w:tblGrid>
        <w:gridCol w:w="5812"/>
        <w:gridCol w:w="992"/>
        <w:gridCol w:w="1560"/>
        <w:gridCol w:w="1519"/>
      </w:tblGrid>
      <w:tr w:rsidR="008B0470" w:rsidRPr="008B0470" w:rsidTr="005D1D13">
        <w:trPr>
          <w:cnfStyle w:val="100000000000" w:firstRow="1" w:lastRow="0" w:firstColumn="0" w:lastColumn="0" w:oddVBand="0" w:evenVBand="0" w:oddHBand="0" w:evenHBand="0" w:firstRowFirstColumn="0" w:firstRowLastColumn="0" w:lastRowFirstColumn="0" w:lastRowLastColumn="0"/>
          <w:trHeight w:val="60"/>
        </w:trPr>
        <w:tc>
          <w:tcPr>
            <w:tcW w:w="5812" w:type="dxa"/>
          </w:tcPr>
          <w:p w:rsidR="008B0470" w:rsidRPr="008B0470" w:rsidRDefault="008B0470" w:rsidP="008B0470">
            <w:pPr>
              <w:pStyle w:val="FinancialsTableText"/>
            </w:pPr>
          </w:p>
        </w:tc>
        <w:tc>
          <w:tcPr>
            <w:tcW w:w="992" w:type="dxa"/>
            <w:vAlign w:val="top"/>
          </w:tcPr>
          <w:p w:rsidR="008B0470" w:rsidRPr="008B0470" w:rsidRDefault="008B0470" w:rsidP="005D1D13">
            <w:pPr>
              <w:pStyle w:val="FinancialsTableText"/>
              <w:jc w:val="right"/>
            </w:pPr>
            <w:r w:rsidRPr="008B0470">
              <w:t>2015</w:t>
            </w:r>
            <w:r>
              <w:br/>
            </w:r>
            <w:r w:rsidRPr="008B0470">
              <w:rPr>
                <w:b w:val="0"/>
              </w:rPr>
              <w:t>$’000</w:t>
            </w:r>
          </w:p>
        </w:tc>
        <w:tc>
          <w:tcPr>
            <w:tcW w:w="1560" w:type="dxa"/>
            <w:vAlign w:val="top"/>
          </w:tcPr>
          <w:p w:rsidR="008B0470" w:rsidRPr="008B0470" w:rsidRDefault="008B0470" w:rsidP="005D1D13">
            <w:pPr>
              <w:pStyle w:val="FinancialsTableText"/>
              <w:jc w:val="right"/>
            </w:pPr>
            <w:r w:rsidRPr="008B0470">
              <w:t>2014</w:t>
            </w:r>
            <w:r>
              <w:br/>
            </w:r>
            <w:r w:rsidRPr="008B0470">
              <w:rPr>
                <w:b w:val="0"/>
              </w:rPr>
              <w:t>$’000</w:t>
            </w:r>
            <w:r w:rsidRPr="008B0470">
              <w:rPr>
                <w:b w:val="0"/>
              </w:rPr>
              <w:br/>
              <w:t>Departmental</w:t>
            </w:r>
          </w:p>
        </w:tc>
        <w:tc>
          <w:tcPr>
            <w:tcW w:w="1519" w:type="dxa"/>
            <w:shd w:val="clear" w:color="auto" w:fill="E6E7E9"/>
            <w:vAlign w:val="top"/>
          </w:tcPr>
          <w:p w:rsidR="008B0470" w:rsidRPr="008B0470" w:rsidRDefault="008B0470" w:rsidP="005D1D13">
            <w:pPr>
              <w:pStyle w:val="FinancialsTableText"/>
              <w:jc w:val="right"/>
            </w:pPr>
            <w:r w:rsidRPr="008B0470">
              <w:t>2014</w:t>
            </w:r>
            <w:r>
              <w:br/>
            </w:r>
            <w:r w:rsidRPr="008B0470">
              <w:rPr>
                <w:b w:val="0"/>
              </w:rPr>
              <w:t>$’000</w:t>
            </w:r>
            <w:r w:rsidRPr="008B0470">
              <w:rPr>
                <w:b w:val="0"/>
              </w:rPr>
              <w:br/>
              <w:t>Administered</w:t>
            </w:r>
          </w:p>
        </w:tc>
      </w:tr>
      <w:tr w:rsidR="008B0470" w:rsidRPr="008B0470" w:rsidTr="008B0470">
        <w:trPr>
          <w:trHeight w:val="60"/>
        </w:trPr>
        <w:tc>
          <w:tcPr>
            <w:tcW w:w="8364" w:type="dxa"/>
            <w:gridSpan w:val="3"/>
          </w:tcPr>
          <w:p w:rsidR="008B0470" w:rsidRPr="008B0470" w:rsidRDefault="008B0470" w:rsidP="008B0470">
            <w:pPr>
              <w:pStyle w:val="FinancialsTableH1"/>
            </w:pPr>
            <w:r w:rsidRPr="008B0470">
              <w:t>Note 8A: Suppliers</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60"/>
        </w:trPr>
        <w:tc>
          <w:tcPr>
            <w:tcW w:w="5812" w:type="dxa"/>
          </w:tcPr>
          <w:p w:rsidR="008B0470" w:rsidRPr="008B0470" w:rsidRDefault="008B0470" w:rsidP="008B0470">
            <w:pPr>
              <w:pStyle w:val="FinancialsTableText"/>
            </w:pPr>
            <w:r w:rsidRPr="008B0470">
              <w:t>Trade creditors and accruals</w:t>
            </w:r>
          </w:p>
        </w:tc>
        <w:tc>
          <w:tcPr>
            <w:tcW w:w="992" w:type="dxa"/>
          </w:tcPr>
          <w:p w:rsidR="008B0470" w:rsidRPr="008B0470" w:rsidRDefault="008B0470" w:rsidP="008B0470">
            <w:pPr>
              <w:pStyle w:val="FinancialsTableText"/>
              <w:jc w:val="right"/>
              <w:rPr>
                <w:b/>
              </w:rPr>
            </w:pPr>
            <w:r w:rsidRPr="008B0470">
              <w:rPr>
                <w:b/>
              </w:rPr>
              <w:t xml:space="preserve"> 3,892 </w:t>
            </w:r>
          </w:p>
        </w:tc>
        <w:tc>
          <w:tcPr>
            <w:tcW w:w="1560" w:type="dxa"/>
          </w:tcPr>
          <w:p w:rsidR="008B0470" w:rsidRPr="008B0470" w:rsidRDefault="008B0470" w:rsidP="008B0470">
            <w:pPr>
              <w:pStyle w:val="FinancialsTableText"/>
              <w:jc w:val="right"/>
            </w:pPr>
            <w:r w:rsidRPr="008B0470">
              <w:t xml:space="preserve"> 376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5812" w:type="dxa"/>
          </w:tcPr>
          <w:p w:rsidR="008B0470" w:rsidRPr="008B0470" w:rsidRDefault="008B0470" w:rsidP="008B0470">
            <w:pPr>
              <w:pStyle w:val="FinancialsTableText"/>
              <w:rPr>
                <w:b/>
              </w:rPr>
            </w:pPr>
            <w:r w:rsidRPr="008B0470">
              <w:rPr>
                <w:b/>
              </w:rPr>
              <w:t>Total suppliers</w:t>
            </w:r>
          </w:p>
        </w:tc>
        <w:tc>
          <w:tcPr>
            <w:tcW w:w="992" w:type="dxa"/>
          </w:tcPr>
          <w:p w:rsidR="008B0470" w:rsidRPr="008B0470" w:rsidRDefault="008B0470" w:rsidP="008B0470">
            <w:pPr>
              <w:pStyle w:val="FinancialsTableText"/>
              <w:jc w:val="right"/>
              <w:rPr>
                <w:b/>
              </w:rPr>
            </w:pPr>
            <w:r w:rsidRPr="008B0470">
              <w:rPr>
                <w:b/>
              </w:rPr>
              <w:t xml:space="preserve"> 3,892 </w:t>
            </w:r>
          </w:p>
        </w:tc>
        <w:tc>
          <w:tcPr>
            <w:tcW w:w="1560" w:type="dxa"/>
          </w:tcPr>
          <w:p w:rsidR="008B0470" w:rsidRPr="008B0470" w:rsidRDefault="008B0470" w:rsidP="008B0470">
            <w:pPr>
              <w:pStyle w:val="FinancialsTableText"/>
              <w:jc w:val="right"/>
            </w:pPr>
            <w:r w:rsidRPr="008B0470">
              <w:t xml:space="preserve"> 376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8364" w:type="dxa"/>
            <w:gridSpan w:val="3"/>
          </w:tcPr>
          <w:p w:rsidR="008B0470" w:rsidRPr="008B0470" w:rsidRDefault="008B0470" w:rsidP="008B0470">
            <w:pPr>
              <w:pStyle w:val="FinancialsTableH2"/>
            </w:pPr>
            <w:r w:rsidRPr="008B0470">
              <w:t xml:space="preserve">Suppliers expected to be settled </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60"/>
        </w:trPr>
        <w:tc>
          <w:tcPr>
            <w:tcW w:w="5812" w:type="dxa"/>
          </w:tcPr>
          <w:p w:rsidR="008B0470" w:rsidRPr="008B0470" w:rsidRDefault="008B0470" w:rsidP="008B0470">
            <w:pPr>
              <w:pStyle w:val="FinancialsTableTextIndented"/>
            </w:pPr>
            <w:r w:rsidRPr="008B0470">
              <w:t>No more than 12 months</w:t>
            </w:r>
          </w:p>
        </w:tc>
        <w:tc>
          <w:tcPr>
            <w:tcW w:w="992" w:type="dxa"/>
          </w:tcPr>
          <w:p w:rsidR="008B0470" w:rsidRPr="008B0470" w:rsidRDefault="008B0470" w:rsidP="008B0470">
            <w:pPr>
              <w:pStyle w:val="FinancialsTableText"/>
              <w:jc w:val="right"/>
              <w:rPr>
                <w:b/>
              </w:rPr>
            </w:pPr>
            <w:r w:rsidRPr="008B0470">
              <w:rPr>
                <w:b/>
              </w:rPr>
              <w:t xml:space="preserve"> 3,892 </w:t>
            </w:r>
          </w:p>
        </w:tc>
        <w:tc>
          <w:tcPr>
            <w:tcW w:w="1560" w:type="dxa"/>
          </w:tcPr>
          <w:p w:rsidR="008B0470" w:rsidRPr="008B0470" w:rsidRDefault="008B0470" w:rsidP="008B0470">
            <w:pPr>
              <w:pStyle w:val="FinancialsTableText"/>
              <w:jc w:val="right"/>
            </w:pPr>
            <w:r w:rsidRPr="008B0470">
              <w:t xml:space="preserve"> 268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5812" w:type="dxa"/>
          </w:tcPr>
          <w:p w:rsidR="008B0470" w:rsidRPr="008B0470" w:rsidRDefault="008B0470" w:rsidP="008B0470">
            <w:pPr>
              <w:pStyle w:val="FinancialsTableTextIndented"/>
            </w:pPr>
            <w:r w:rsidRPr="008B0470">
              <w:t xml:space="preserve">More than 12 months </w:t>
            </w:r>
          </w:p>
        </w:tc>
        <w:tc>
          <w:tcPr>
            <w:tcW w:w="992" w:type="dxa"/>
          </w:tcPr>
          <w:p w:rsidR="008B0470" w:rsidRPr="008B0470" w:rsidRDefault="008B0470" w:rsidP="008B0470">
            <w:pPr>
              <w:pStyle w:val="FinancialsTableText"/>
              <w:jc w:val="right"/>
              <w:rPr>
                <w:b/>
              </w:rPr>
            </w:pPr>
            <w:r w:rsidRPr="008B0470">
              <w:rPr>
                <w:b/>
              </w:rPr>
              <w:t xml:space="preserve"> – </w:t>
            </w:r>
          </w:p>
        </w:tc>
        <w:tc>
          <w:tcPr>
            <w:tcW w:w="1560" w:type="dxa"/>
          </w:tcPr>
          <w:p w:rsidR="008B0470" w:rsidRPr="008B0470" w:rsidRDefault="008B0470" w:rsidP="008B0470">
            <w:pPr>
              <w:pStyle w:val="FinancialsTableText"/>
              <w:jc w:val="right"/>
            </w:pPr>
            <w:r w:rsidRPr="008B0470">
              <w:t xml:space="preserve"> 108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rPr>
                <w:b/>
              </w:rPr>
            </w:pPr>
            <w:r w:rsidRPr="008B0470">
              <w:rPr>
                <w:b/>
              </w:rPr>
              <w:t>Total suppliers</w:t>
            </w:r>
          </w:p>
        </w:tc>
        <w:tc>
          <w:tcPr>
            <w:tcW w:w="992" w:type="dxa"/>
          </w:tcPr>
          <w:p w:rsidR="008B0470" w:rsidRPr="008B0470" w:rsidRDefault="008B0470" w:rsidP="008B0470">
            <w:pPr>
              <w:pStyle w:val="FinancialsTableText"/>
              <w:jc w:val="right"/>
              <w:rPr>
                <w:b/>
              </w:rPr>
            </w:pPr>
            <w:r w:rsidRPr="008B0470">
              <w:rPr>
                <w:b/>
              </w:rPr>
              <w:t xml:space="preserve"> 3,892 </w:t>
            </w:r>
          </w:p>
        </w:tc>
        <w:tc>
          <w:tcPr>
            <w:tcW w:w="1560" w:type="dxa"/>
          </w:tcPr>
          <w:p w:rsidR="008B0470" w:rsidRPr="008B0470" w:rsidRDefault="008B0470" w:rsidP="008B0470">
            <w:pPr>
              <w:pStyle w:val="FinancialsTableText"/>
              <w:jc w:val="right"/>
            </w:pPr>
            <w:r w:rsidRPr="008B0470">
              <w:t xml:space="preserve"> 376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8364" w:type="dxa"/>
            <w:gridSpan w:val="3"/>
          </w:tcPr>
          <w:p w:rsidR="008B0470" w:rsidRPr="008B0470" w:rsidRDefault="008B0470" w:rsidP="008B0470">
            <w:pPr>
              <w:pStyle w:val="FinancialsTableH2"/>
            </w:pPr>
            <w:r w:rsidRPr="008B0470">
              <w:t>Suppliers in connection with</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60"/>
        </w:trPr>
        <w:tc>
          <w:tcPr>
            <w:tcW w:w="5812" w:type="dxa"/>
          </w:tcPr>
          <w:p w:rsidR="008B0470" w:rsidRPr="008B0470" w:rsidRDefault="008B0470" w:rsidP="008B0470">
            <w:pPr>
              <w:pStyle w:val="FinancialsTableTextIndented"/>
            </w:pPr>
            <w:r w:rsidRPr="008B0470">
              <w:t>Related entities</w:t>
            </w:r>
          </w:p>
        </w:tc>
        <w:tc>
          <w:tcPr>
            <w:tcW w:w="992" w:type="dxa"/>
          </w:tcPr>
          <w:p w:rsidR="008B0470" w:rsidRPr="008B0470" w:rsidRDefault="008B0470" w:rsidP="008B0470">
            <w:pPr>
              <w:pStyle w:val="FinancialsTableText"/>
              <w:jc w:val="right"/>
              <w:rPr>
                <w:b/>
              </w:rPr>
            </w:pPr>
            <w:r w:rsidRPr="008B0470">
              <w:rPr>
                <w:b/>
              </w:rPr>
              <w:t xml:space="preserve"> 353 </w:t>
            </w:r>
          </w:p>
        </w:tc>
        <w:tc>
          <w:tcPr>
            <w:tcW w:w="1560" w:type="dxa"/>
          </w:tcPr>
          <w:p w:rsidR="008B0470" w:rsidRPr="008B0470" w:rsidRDefault="008B0470" w:rsidP="008B0470">
            <w:pPr>
              <w:pStyle w:val="FinancialsTableText"/>
              <w:jc w:val="right"/>
            </w:pPr>
            <w:r w:rsidRPr="008B0470">
              <w:t xml:space="preserve"> 100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Indented"/>
            </w:pPr>
            <w:r w:rsidRPr="008B0470">
              <w:t>External parties</w:t>
            </w:r>
          </w:p>
        </w:tc>
        <w:tc>
          <w:tcPr>
            <w:tcW w:w="992" w:type="dxa"/>
          </w:tcPr>
          <w:p w:rsidR="008B0470" w:rsidRPr="008B0470" w:rsidRDefault="008B0470" w:rsidP="008B0470">
            <w:pPr>
              <w:pStyle w:val="FinancialsTableText"/>
              <w:jc w:val="right"/>
              <w:rPr>
                <w:b/>
              </w:rPr>
            </w:pPr>
            <w:r w:rsidRPr="008B0470">
              <w:rPr>
                <w:b/>
              </w:rPr>
              <w:t xml:space="preserve"> 3,539 </w:t>
            </w:r>
          </w:p>
        </w:tc>
        <w:tc>
          <w:tcPr>
            <w:tcW w:w="1560" w:type="dxa"/>
          </w:tcPr>
          <w:p w:rsidR="008B0470" w:rsidRPr="008B0470" w:rsidRDefault="008B0470" w:rsidP="008B0470">
            <w:pPr>
              <w:pStyle w:val="FinancialsTableText"/>
              <w:jc w:val="right"/>
            </w:pPr>
            <w:r w:rsidRPr="008B0470">
              <w:t xml:space="preserve"> 276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5812" w:type="dxa"/>
          </w:tcPr>
          <w:p w:rsidR="008B0470" w:rsidRPr="008B0470" w:rsidRDefault="008B0470" w:rsidP="008B0470">
            <w:pPr>
              <w:pStyle w:val="FinancialsTableText"/>
              <w:rPr>
                <w:b/>
              </w:rPr>
            </w:pPr>
            <w:r w:rsidRPr="008B0470">
              <w:rPr>
                <w:b/>
              </w:rPr>
              <w:t>Total suppliers</w:t>
            </w:r>
          </w:p>
        </w:tc>
        <w:tc>
          <w:tcPr>
            <w:tcW w:w="992" w:type="dxa"/>
          </w:tcPr>
          <w:p w:rsidR="008B0470" w:rsidRPr="008B0470" w:rsidRDefault="008B0470" w:rsidP="008B0470">
            <w:pPr>
              <w:pStyle w:val="FinancialsTableText"/>
              <w:jc w:val="right"/>
              <w:rPr>
                <w:b/>
              </w:rPr>
            </w:pPr>
            <w:r w:rsidRPr="008B0470">
              <w:rPr>
                <w:b/>
              </w:rPr>
              <w:t xml:space="preserve"> 3,892 </w:t>
            </w:r>
          </w:p>
        </w:tc>
        <w:tc>
          <w:tcPr>
            <w:tcW w:w="1560" w:type="dxa"/>
          </w:tcPr>
          <w:p w:rsidR="008B0470" w:rsidRPr="008B0470" w:rsidRDefault="008B0470" w:rsidP="008B0470">
            <w:pPr>
              <w:pStyle w:val="FinancialsTableText"/>
              <w:jc w:val="right"/>
            </w:pPr>
            <w:r w:rsidRPr="008B0470">
              <w:t xml:space="preserve"> 376 </w:t>
            </w:r>
          </w:p>
        </w:tc>
        <w:tc>
          <w:tcPr>
            <w:tcW w:w="1519" w:type="dxa"/>
            <w:shd w:val="clear" w:color="auto" w:fill="E6E7E9"/>
          </w:tcPr>
          <w:p w:rsidR="008B0470" w:rsidRPr="008B0470" w:rsidRDefault="008B0470" w:rsidP="008B0470">
            <w:pPr>
              <w:pStyle w:val="FinancialsTableText"/>
              <w:jc w:val="right"/>
            </w:pPr>
            <w:r w:rsidRPr="008B0470">
              <w:t xml:space="preserve"> 2,152 </w:t>
            </w:r>
          </w:p>
        </w:tc>
      </w:tr>
      <w:tr w:rsidR="008B0470" w:rsidRPr="008B0470" w:rsidTr="008B0470">
        <w:trPr>
          <w:trHeight w:val="60"/>
        </w:trPr>
        <w:tc>
          <w:tcPr>
            <w:tcW w:w="8364" w:type="dxa"/>
            <w:gridSpan w:val="3"/>
          </w:tcPr>
          <w:p w:rsidR="008B0470" w:rsidRPr="008B0470" w:rsidRDefault="008B0470" w:rsidP="008B0470">
            <w:pPr>
              <w:pStyle w:val="SourceNotesText"/>
            </w:pPr>
            <w:r w:rsidRPr="008B0470">
              <w:t>Settlement was usually made within 30 days.</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60"/>
        </w:trPr>
        <w:tc>
          <w:tcPr>
            <w:tcW w:w="8364" w:type="dxa"/>
            <w:gridSpan w:val="3"/>
          </w:tcPr>
          <w:p w:rsidR="008B0470" w:rsidRPr="008B0470" w:rsidRDefault="008B0470" w:rsidP="008B0470">
            <w:pPr>
              <w:pStyle w:val="FinancialsTableH1"/>
            </w:pPr>
            <w:r w:rsidRPr="008B0470">
              <w:t>Note 8B: Other payables</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323"/>
        </w:trPr>
        <w:tc>
          <w:tcPr>
            <w:tcW w:w="5812" w:type="dxa"/>
          </w:tcPr>
          <w:p w:rsidR="008B0470" w:rsidRPr="008B0470" w:rsidRDefault="008B0470" w:rsidP="008B0470">
            <w:pPr>
              <w:pStyle w:val="FinancialsTableText"/>
            </w:pPr>
            <w:r w:rsidRPr="008B0470">
              <w:t>Payable to Department of Health</w:t>
            </w:r>
          </w:p>
        </w:tc>
        <w:tc>
          <w:tcPr>
            <w:tcW w:w="992" w:type="dxa"/>
          </w:tcPr>
          <w:p w:rsidR="008B0470" w:rsidRPr="008B0470" w:rsidRDefault="008B0470" w:rsidP="008B0470">
            <w:pPr>
              <w:pStyle w:val="FinancialsTableText"/>
              <w:jc w:val="right"/>
              <w:rPr>
                <w:b/>
              </w:rPr>
            </w:pPr>
            <w:r w:rsidRPr="008B0470">
              <w:rPr>
                <w:b/>
              </w:rPr>
              <w:t xml:space="preserve"> 119 </w:t>
            </w:r>
          </w:p>
        </w:tc>
        <w:tc>
          <w:tcPr>
            <w:tcW w:w="1560" w:type="dxa"/>
          </w:tcPr>
          <w:p w:rsidR="008B0470" w:rsidRPr="008B0470" w:rsidRDefault="008B0470" w:rsidP="008B0470">
            <w:pPr>
              <w:pStyle w:val="FinancialsTableText"/>
              <w:jc w:val="right"/>
            </w:pPr>
            <w:r w:rsidRPr="008B0470">
              <w:t xml:space="preserve"> 98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pPr>
            <w:r w:rsidRPr="008B0470">
              <w:t>Wages and salaries</w:t>
            </w:r>
          </w:p>
        </w:tc>
        <w:tc>
          <w:tcPr>
            <w:tcW w:w="992" w:type="dxa"/>
          </w:tcPr>
          <w:p w:rsidR="008B0470" w:rsidRPr="008B0470" w:rsidRDefault="008B0470" w:rsidP="008B0470">
            <w:pPr>
              <w:pStyle w:val="FinancialsTableText"/>
              <w:jc w:val="right"/>
              <w:rPr>
                <w:b/>
              </w:rPr>
            </w:pPr>
            <w:r w:rsidRPr="008B0470">
              <w:rPr>
                <w:b/>
              </w:rPr>
              <w:t xml:space="preserve"> 191 </w:t>
            </w:r>
          </w:p>
        </w:tc>
        <w:tc>
          <w:tcPr>
            <w:tcW w:w="1560" w:type="dxa"/>
          </w:tcPr>
          <w:p w:rsidR="008B0470" w:rsidRPr="008B0470" w:rsidRDefault="008B0470" w:rsidP="008B0470">
            <w:pPr>
              <w:pStyle w:val="FinancialsTableText"/>
              <w:jc w:val="right"/>
            </w:pPr>
            <w:r w:rsidRPr="008B0470">
              <w:t xml:space="preserve"> 155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pPr>
            <w:r w:rsidRPr="008B0470">
              <w:t>Superannuation</w:t>
            </w:r>
          </w:p>
        </w:tc>
        <w:tc>
          <w:tcPr>
            <w:tcW w:w="992" w:type="dxa"/>
          </w:tcPr>
          <w:p w:rsidR="008B0470" w:rsidRPr="008B0470" w:rsidRDefault="008B0470" w:rsidP="008B0470">
            <w:pPr>
              <w:pStyle w:val="FinancialsTableText"/>
              <w:jc w:val="right"/>
              <w:rPr>
                <w:b/>
              </w:rPr>
            </w:pPr>
            <w:r w:rsidRPr="008B0470">
              <w:rPr>
                <w:b/>
              </w:rPr>
              <w:t xml:space="preserve"> 32 </w:t>
            </w:r>
          </w:p>
        </w:tc>
        <w:tc>
          <w:tcPr>
            <w:tcW w:w="1560" w:type="dxa"/>
          </w:tcPr>
          <w:p w:rsidR="008B0470" w:rsidRPr="008B0470" w:rsidRDefault="008B0470" w:rsidP="008B0470">
            <w:pPr>
              <w:pStyle w:val="FinancialsTableText"/>
              <w:jc w:val="right"/>
            </w:pPr>
            <w:r w:rsidRPr="008B0470">
              <w:t xml:space="preserve"> 25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pPr>
            <w:r w:rsidRPr="008B0470">
              <w:t xml:space="preserve">Lease incentive </w:t>
            </w:r>
          </w:p>
        </w:tc>
        <w:tc>
          <w:tcPr>
            <w:tcW w:w="992" w:type="dxa"/>
          </w:tcPr>
          <w:p w:rsidR="008B0470" w:rsidRPr="008B0470" w:rsidRDefault="008B0470" w:rsidP="008B0470">
            <w:pPr>
              <w:pStyle w:val="FinancialsTableText"/>
              <w:jc w:val="right"/>
              <w:rPr>
                <w:b/>
              </w:rPr>
            </w:pPr>
            <w:r w:rsidRPr="008B0470">
              <w:rPr>
                <w:b/>
              </w:rPr>
              <w:t xml:space="preserve"> 319 </w:t>
            </w:r>
          </w:p>
        </w:tc>
        <w:tc>
          <w:tcPr>
            <w:tcW w:w="1560" w:type="dxa"/>
          </w:tcPr>
          <w:p w:rsidR="008B0470" w:rsidRPr="008B0470" w:rsidRDefault="008B0470" w:rsidP="008B0470">
            <w:pPr>
              <w:pStyle w:val="FinancialsTableText"/>
              <w:jc w:val="right"/>
            </w:pPr>
            <w:r w:rsidRPr="008B0470">
              <w:t xml:space="preserve"> 428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pPr>
            <w:r w:rsidRPr="008B0470">
              <w:t xml:space="preserve">GST payable </w:t>
            </w:r>
          </w:p>
        </w:tc>
        <w:tc>
          <w:tcPr>
            <w:tcW w:w="992" w:type="dxa"/>
          </w:tcPr>
          <w:p w:rsidR="008B0470" w:rsidRPr="008B0470" w:rsidRDefault="008B0470" w:rsidP="008B0470">
            <w:pPr>
              <w:pStyle w:val="FinancialsTableText"/>
              <w:jc w:val="right"/>
              <w:rPr>
                <w:b/>
              </w:rPr>
            </w:pPr>
            <w:r w:rsidRPr="008B0470">
              <w:rPr>
                <w:b/>
              </w:rPr>
              <w:t xml:space="preserve"> 11 </w:t>
            </w:r>
          </w:p>
        </w:tc>
        <w:tc>
          <w:tcPr>
            <w:tcW w:w="1560" w:type="dxa"/>
          </w:tcPr>
          <w:p w:rsidR="008B0470" w:rsidRPr="008B0470" w:rsidRDefault="008B0470" w:rsidP="008B0470">
            <w:pPr>
              <w:pStyle w:val="FinancialsTableText"/>
              <w:jc w:val="right"/>
            </w:pPr>
            <w:r w:rsidRPr="008B0470">
              <w:t xml:space="preserve"> 19 </w:t>
            </w:r>
          </w:p>
        </w:tc>
        <w:tc>
          <w:tcPr>
            <w:tcW w:w="1519" w:type="dxa"/>
            <w:shd w:val="clear" w:color="auto" w:fill="E6E7E9"/>
          </w:tcPr>
          <w:p w:rsidR="008B0470" w:rsidRPr="008B0470" w:rsidRDefault="008B0470" w:rsidP="008B0470">
            <w:pPr>
              <w:pStyle w:val="FinancialsTableText"/>
              <w:jc w:val="right"/>
            </w:pPr>
            <w:r w:rsidRPr="008B0470">
              <w:t xml:space="preserve"> 38 </w:t>
            </w:r>
          </w:p>
        </w:tc>
      </w:tr>
      <w:tr w:rsidR="008B0470" w:rsidRPr="008B0470" w:rsidTr="008B0470">
        <w:trPr>
          <w:trHeight w:val="60"/>
        </w:trPr>
        <w:tc>
          <w:tcPr>
            <w:tcW w:w="5812" w:type="dxa"/>
          </w:tcPr>
          <w:p w:rsidR="008B0470" w:rsidRPr="008B0470" w:rsidRDefault="008B0470" w:rsidP="008B0470">
            <w:pPr>
              <w:pStyle w:val="FinancialsTableText"/>
            </w:pPr>
            <w:r w:rsidRPr="008B0470">
              <w:t xml:space="preserve">Other – credit card </w:t>
            </w:r>
          </w:p>
        </w:tc>
        <w:tc>
          <w:tcPr>
            <w:tcW w:w="992" w:type="dxa"/>
          </w:tcPr>
          <w:p w:rsidR="008B0470" w:rsidRPr="008B0470" w:rsidRDefault="008B0470" w:rsidP="008B0470">
            <w:pPr>
              <w:pStyle w:val="FinancialsTableText"/>
              <w:jc w:val="right"/>
              <w:rPr>
                <w:b/>
              </w:rPr>
            </w:pPr>
            <w:r w:rsidRPr="008B0470">
              <w:rPr>
                <w:b/>
              </w:rPr>
              <w:t xml:space="preserve"> 16 </w:t>
            </w:r>
          </w:p>
        </w:tc>
        <w:tc>
          <w:tcPr>
            <w:tcW w:w="1560" w:type="dxa"/>
          </w:tcPr>
          <w:p w:rsidR="008B0470" w:rsidRPr="008B0470" w:rsidRDefault="008B0470" w:rsidP="008B0470">
            <w:pPr>
              <w:pStyle w:val="FinancialsTableText"/>
              <w:jc w:val="right"/>
            </w:pPr>
            <w:r w:rsidRPr="008B0470">
              <w:t xml:space="preserve"> 7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rPr>
                <w:b/>
              </w:rPr>
            </w:pPr>
            <w:r w:rsidRPr="008B0470">
              <w:rPr>
                <w:b/>
              </w:rPr>
              <w:t>Total other payables</w:t>
            </w:r>
          </w:p>
        </w:tc>
        <w:tc>
          <w:tcPr>
            <w:tcW w:w="992" w:type="dxa"/>
          </w:tcPr>
          <w:p w:rsidR="008B0470" w:rsidRPr="008B0470" w:rsidRDefault="008B0470" w:rsidP="008B0470">
            <w:pPr>
              <w:pStyle w:val="FinancialsTableText"/>
              <w:jc w:val="right"/>
              <w:rPr>
                <w:b/>
              </w:rPr>
            </w:pPr>
            <w:r w:rsidRPr="008B0470">
              <w:rPr>
                <w:b/>
              </w:rPr>
              <w:t xml:space="preserve"> 688 </w:t>
            </w:r>
          </w:p>
        </w:tc>
        <w:tc>
          <w:tcPr>
            <w:tcW w:w="1560" w:type="dxa"/>
          </w:tcPr>
          <w:p w:rsidR="008B0470" w:rsidRPr="008B0470" w:rsidRDefault="008B0470" w:rsidP="008B0470">
            <w:pPr>
              <w:pStyle w:val="FinancialsTableText"/>
              <w:jc w:val="right"/>
            </w:pPr>
            <w:r w:rsidRPr="008B0470">
              <w:t xml:space="preserve"> 732 </w:t>
            </w:r>
          </w:p>
        </w:tc>
        <w:tc>
          <w:tcPr>
            <w:tcW w:w="1519" w:type="dxa"/>
            <w:shd w:val="clear" w:color="auto" w:fill="E6E7E9"/>
          </w:tcPr>
          <w:p w:rsidR="008B0470" w:rsidRPr="008B0470" w:rsidRDefault="008B0470" w:rsidP="008B0470">
            <w:pPr>
              <w:pStyle w:val="FinancialsTableText"/>
              <w:jc w:val="right"/>
            </w:pPr>
            <w:r w:rsidRPr="008B0470">
              <w:t xml:space="preserve"> 38 </w:t>
            </w:r>
          </w:p>
        </w:tc>
      </w:tr>
      <w:tr w:rsidR="008B0470" w:rsidRPr="008B0470" w:rsidTr="008B0470">
        <w:trPr>
          <w:trHeight w:val="60"/>
        </w:trPr>
        <w:tc>
          <w:tcPr>
            <w:tcW w:w="8364" w:type="dxa"/>
            <w:gridSpan w:val="3"/>
          </w:tcPr>
          <w:p w:rsidR="008B0470" w:rsidRPr="008B0470" w:rsidRDefault="008B0470" w:rsidP="008B0470">
            <w:pPr>
              <w:pStyle w:val="FinancialsTableH2"/>
            </w:pPr>
            <w:r w:rsidRPr="008B0470">
              <w:t>Total other payables expected to be settled</w:t>
            </w:r>
          </w:p>
        </w:tc>
        <w:tc>
          <w:tcPr>
            <w:tcW w:w="1519" w:type="dxa"/>
            <w:shd w:val="clear" w:color="auto" w:fill="E6E7E9"/>
          </w:tcPr>
          <w:p w:rsidR="008B0470" w:rsidRPr="008B0470" w:rsidRDefault="008B0470" w:rsidP="008B0470">
            <w:pPr>
              <w:pStyle w:val="FinancialsTableText"/>
              <w:jc w:val="right"/>
            </w:pPr>
          </w:p>
        </w:tc>
      </w:tr>
      <w:tr w:rsidR="008B0470" w:rsidRPr="008B0470" w:rsidTr="008B0470">
        <w:trPr>
          <w:trHeight w:val="60"/>
        </w:trPr>
        <w:tc>
          <w:tcPr>
            <w:tcW w:w="5812" w:type="dxa"/>
          </w:tcPr>
          <w:p w:rsidR="008B0470" w:rsidRPr="008B0470" w:rsidRDefault="008B0470" w:rsidP="008B0470">
            <w:pPr>
              <w:pStyle w:val="FinancialsTableTextIndented"/>
            </w:pPr>
            <w:r w:rsidRPr="008B0470">
              <w:t>No more than 12 months</w:t>
            </w:r>
          </w:p>
        </w:tc>
        <w:tc>
          <w:tcPr>
            <w:tcW w:w="992" w:type="dxa"/>
          </w:tcPr>
          <w:p w:rsidR="008B0470" w:rsidRPr="008B0470" w:rsidRDefault="008B0470" w:rsidP="008B0470">
            <w:pPr>
              <w:pStyle w:val="FinancialsTableText"/>
              <w:jc w:val="right"/>
              <w:rPr>
                <w:b/>
              </w:rPr>
            </w:pPr>
            <w:r w:rsidRPr="008B0470">
              <w:rPr>
                <w:b/>
              </w:rPr>
              <w:t xml:space="preserve"> 479 </w:t>
            </w:r>
          </w:p>
        </w:tc>
        <w:tc>
          <w:tcPr>
            <w:tcW w:w="1560" w:type="dxa"/>
          </w:tcPr>
          <w:p w:rsidR="008B0470" w:rsidRPr="008B0470" w:rsidRDefault="008B0470" w:rsidP="008B0470">
            <w:pPr>
              <w:pStyle w:val="FinancialsTableText"/>
              <w:jc w:val="right"/>
            </w:pPr>
            <w:r w:rsidRPr="008B0470">
              <w:t xml:space="preserve"> 422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Indented"/>
            </w:pPr>
            <w:r w:rsidRPr="008B0470">
              <w:t>More than 12 months</w:t>
            </w:r>
          </w:p>
        </w:tc>
        <w:tc>
          <w:tcPr>
            <w:tcW w:w="992" w:type="dxa"/>
          </w:tcPr>
          <w:p w:rsidR="008B0470" w:rsidRPr="008B0470" w:rsidRDefault="008B0470" w:rsidP="008B0470">
            <w:pPr>
              <w:pStyle w:val="FinancialsTableText"/>
              <w:jc w:val="right"/>
              <w:rPr>
                <w:b/>
              </w:rPr>
            </w:pPr>
            <w:r w:rsidRPr="008B0470">
              <w:rPr>
                <w:b/>
              </w:rPr>
              <w:t xml:space="preserve"> 209 </w:t>
            </w:r>
          </w:p>
        </w:tc>
        <w:tc>
          <w:tcPr>
            <w:tcW w:w="1560" w:type="dxa"/>
          </w:tcPr>
          <w:p w:rsidR="008B0470" w:rsidRPr="008B0470" w:rsidRDefault="008B0470" w:rsidP="008B0470">
            <w:pPr>
              <w:pStyle w:val="FinancialsTableText"/>
              <w:jc w:val="right"/>
            </w:pPr>
            <w:r w:rsidRPr="008B0470">
              <w:t xml:space="preserve"> 310 </w:t>
            </w:r>
          </w:p>
        </w:tc>
        <w:tc>
          <w:tcPr>
            <w:tcW w:w="1519" w:type="dxa"/>
            <w:shd w:val="clear" w:color="auto" w:fill="E6E7E9"/>
          </w:tcPr>
          <w:p w:rsidR="008B0470" w:rsidRPr="008B0470" w:rsidRDefault="008B0470" w:rsidP="008B0470">
            <w:pPr>
              <w:pStyle w:val="FinancialsTableText"/>
              <w:jc w:val="right"/>
            </w:pPr>
            <w:r w:rsidRPr="008B0470">
              <w:t xml:space="preserve"> – </w:t>
            </w:r>
          </w:p>
        </w:tc>
      </w:tr>
      <w:tr w:rsidR="008B0470" w:rsidRPr="008B0470" w:rsidTr="008B0470">
        <w:trPr>
          <w:trHeight w:val="60"/>
        </w:trPr>
        <w:tc>
          <w:tcPr>
            <w:tcW w:w="5812" w:type="dxa"/>
          </w:tcPr>
          <w:p w:rsidR="008B0470" w:rsidRPr="008B0470" w:rsidRDefault="008B0470" w:rsidP="008B0470">
            <w:pPr>
              <w:pStyle w:val="FinancialsTableText"/>
              <w:rPr>
                <w:b/>
              </w:rPr>
            </w:pPr>
            <w:r w:rsidRPr="008B0470">
              <w:rPr>
                <w:b/>
              </w:rPr>
              <w:t>Total other payables</w:t>
            </w:r>
          </w:p>
        </w:tc>
        <w:tc>
          <w:tcPr>
            <w:tcW w:w="992" w:type="dxa"/>
          </w:tcPr>
          <w:p w:rsidR="008B0470" w:rsidRPr="008B0470" w:rsidRDefault="008B0470" w:rsidP="008B0470">
            <w:pPr>
              <w:pStyle w:val="FinancialsTableText"/>
              <w:jc w:val="right"/>
              <w:rPr>
                <w:b/>
              </w:rPr>
            </w:pPr>
            <w:r w:rsidRPr="008B0470">
              <w:rPr>
                <w:b/>
              </w:rPr>
              <w:t xml:space="preserve"> 688 </w:t>
            </w:r>
          </w:p>
        </w:tc>
        <w:tc>
          <w:tcPr>
            <w:tcW w:w="1560" w:type="dxa"/>
          </w:tcPr>
          <w:p w:rsidR="008B0470" w:rsidRPr="008B0470" w:rsidRDefault="008B0470" w:rsidP="008B0470">
            <w:pPr>
              <w:pStyle w:val="FinancialsTableText"/>
              <w:jc w:val="right"/>
            </w:pPr>
            <w:r w:rsidRPr="008B0470">
              <w:t xml:space="preserve"> 732 </w:t>
            </w:r>
          </w:p>
        </w:tc>
        <w:tc>
          <w:tcPr>
            <w:tcW w:w="1519" w:type="dxa"/>
            <w:shd w:val="clear" w:color="auto" w:fill="E6E7E9"/>
          </w:tcPr>
          <w:p w:rsidR="008B0470" w:rsidRPr="008B0470" w:rsidRDefault="008B0470" w:rsidP="008B0470">
            <w:pPr>
              <w:pStyle w:val="FinancialsTableText"/>
              <w:jc w:val="right"/>
            </w:pPr>
            <w:r w:rsidRPr="008B0470">
              <w:t xml:space="preserve"> 38</w:t>
            </w:r>
          </w:p>
        </w:tc>
      </w:tr>
    </w:tbl>
    <w:p w:rsidR="00900C71" w:rsidRDefault="00900C71" w:rsidP="008B0470">
      <w:r>
        <w:br w:type="page"/>
      </w:r>
    </w:p>
    <w:p w:rsidR="008B0470" w:rsidRDefault="00900C71" w:rsidP="00900C71">
      <w:pPr>
        <w:pStyle w:val="FinancialsH2"/>
      </w:pPr>
      <w:bookmarkStart w:id="32" w:name="_Toc433193212"/>
      <w:r w:rsidRPr="00900C71">
        <w:lastRenderedPageBreak/>
        <w:t>Note 9: Provisions</w:t>
      </w:r>
      <w:bookmarkEnd w:id="32"/>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Provisions"/>
      </w:tblPr>
      <w:tblGrid>
        <w:gridCol w:w="5812"/>
        <w:gridCol w:w="980"/>
        <w:gridCol w:w="12"/>
        <w:gridCol w:w="1560"/>
        <w:gridCol w:w="10"/>
        <w:gridCol w:w="1512"/>
      </w:tblGrid>
      <w:tr w:rsidR="00900C71" w:rsidRPr="008B0470" w:rsidTr="005D1D13">
        <w:trPr>
          <w:cnfStyle w:val="100000000000" w:firstRow="1" w:lastRow="0" w:firstColumn="0" w:lastColumn="0" w:oddVBand="0" w:evenVBand="0" w:oddHBand="0" w:evenHBand="0" w:firstRowFirstColumn="0" w:firstRowLastColumn="0" w:lastRowFirstColumn="0" w:lastRowLastColumn="0"/>
          <w:trHeight w:val="60"/>
        </w:trPr>
        <w:tc>
          <w:tcPr>
            <w:tcW w:w="5812" w:type="dxa"/>
          </w:tcPr>
          <w:p w:rsidR="00900C71" w:rsidRPr="008B0470" w:rsidRDefault="00900C71" w:rsidP="00A97341">
            <w:pPr>
              <w:pStyle w:val="FinancialsTableText"/>
            </w:pPr>
          </w:p>
        </w:tc>
        <w:tc>
          <w:tcPr>
            <w:tcW w:w="992" w:type="dxa"/>
            <w:gridSpan w:val="2"/>
            <w:vAlign w:val="top"/>
          </w:tcPr>
          <w:p w:rsidR="00900C71" w:rsidRPr="008B0470" w:rsidRDefault="00900C71" w:rsidP="005D1D13">
            <w:pPr>
              <w:pStyle w:val="FinancialsTableText"/>
              <w:jc w:val="right"/>
            </w:pPr>
            <w:r w:rsidRPr="008B0470">
              <w:t>2015</w:t>
            </w:r>
            <w:r>
              <w:br/>
            </w:r>
            <w:r w:rsidRPr="008B0470">
              <w:rPr>
                <w:b w:val="0"/>
              </w:rPr>
              <w:t>$’000</w:t>
            </w:r>
          </w:p>
        </w:tc>
        <w:tc>
          <w:tcPr>
            <w:tcW w:w="1560" w:type="dxa"/>
            <w:vAlign w:val="top"/>
          </w:tcPr>
          <w:p w:rsidR="00900C71" w:rsidRPr="008B0470" w:rsidRDefault="00900C71" w:rsidP="005D1D13">
            <w:pPr>
              <w:pStyle w:val="FinancialsTableText"/>
              <w:jc w:val="right"/>
            </w:pPr>
            <w:r w:rsidRPr="008B0470">
              <w:t>2014</w:t>
            </w:r>
            <w:r>
              <w:br/>
            </w:r>
            <w:r w:rsidRPr="008B0470">
              <w:rPr>
                <w:b w:val="0"/>
              </w:rPr>
              <w:t>$’000</w:t>
            </w:r>
            <w:r w:rsidRPr="008B0470">
              <w:rPr>
                <w:b w:val="0"/>
              </w:rPr>
              <w:br/>
              <w:t>Departmental</w:t>
            </w:r>
          </w:p>
        </w:tc>
        <w:tc>
          <w:tcPr>
            <w:tcW w:w="1522" w:type="dxa"/>
            <w:gridSpan w:val="2"/>
            <w:shd w:val="clear" w:color="auto" w:fill="E6E7E9"/>
            <w:vAlign w:val="top"/>
          </w:tcPr>
          <w:p w:rsidR="00900C71" w:rsidRPr="008B0470" w:rsidRDefault="00900C71" w:rsidP="005D1D13">
            <w:pPr>
              <w:pStyle w:val="FinancialsTableText"/>
              <w:jc w:val="right"/>
            </w:pPr>
            <w:r w:rsidRPr="008B0470">
              <w:t>2014</w:t>
            </w:r>
            <w:r>
              <w:br/>
            </w:r>
            <w:r w:rsidRPr="008B0470">
              <w:rPr>
                <w:b w:val="0"/>
              </w:rPr>
              <w:t>$’000</w:t>
            </w:r>
            <w:r w:rsidRPr="008B0470">
              <w:rPr>
                <w:b w:val="0"/>
              </w:rPr>
              <w:br/>
              <w:t>Administered</w:t>
            </w:r>
          </w:p>
        </w:tc>
      </w:tr>
      <w:tr w:rsidR="00900C71" w:rsidRPr="00900C71" w:rsidTr="00F65A34">
        <w:trPr>
          <w:trHeight w:val="60"/>
        </w:trPr>
        <w:tc>
          <w:tcPr>
            <w:tcW w:w="8374" w:type="dxa"/>
            <w:gridSpan w:val="5"/>
          </w:tcPr>
          <w:p w:rsidR="00900C71" w:rsidRPr="00215CCB" w:rsidRDefault="00900C71" w:rsidP="00215CCB">
            <w:pPr>
              <w:pStyle w:val="FinancialsTableH1"/>
            </w:pPr>
            <w:r w:rsidRPr="00215CCB">
              <w:t>Note 9A: Employee provisions</w:t>
            </w:r>
          </w:p>
        </w:tc>
        <w:tc>
          <w:tcPr>
            <w:tcW w:w="1512" w:type="dxa"/>
            <w:shd w:val="clear" w:color="auto" w:fill="E6E7E9"/>
          </w:tcPr>
          <w:p w:rsidR="00900C71" w:rsidRPr="00900C71" w:rsidRDefault="00900C71" w:rsidP="00900C71">
            <w:pPr>
              <w:pStyle w:val="FinancialsTableText"/>
              <w:jc w:val="right"/>
            </w:pPr>
          </w:p>
        </w:tc>
      </w:tr>
      <w:tr w:rsidR="00900C71" w:rsidRPr="00900C71" w:rsidTr="00F65A34">
        <w:trPr>
          <w:trHeight w:val="60"/>
        </w:trPr>
        <w:tc>
          <w:tcPr>
            <w:tcW w:w="5812" w:type="dxa"/>
          </w:tcPr>
          <w:p w:rsidR="00900C71" w:rsidRPr="00900C71" w:rsidRDefault="00900C71" w:rsidP="00900C71">
            <w:pPr>
              <w:pStyle w:val="FinancialsTableText"/>
            </w:pPr>
            <w:r w:rsidRPr="00900C71">
              <w:t>Leave</w:t>
            </w:r>
          </w:p>
        </w:tc>
        <w:tc>
          <w:tcPr>
            <w:tcW w:w="980" w:type="dxa"/>
          </w:tcPr>
          <w:p w:rsidR="00900C71" w:rsidRPr="00900C71" w:rsidRDefault="00900C71" w:rsidP="00900C71">
            <w:pPr>
              <w:pStyle w:val="FinancialsTableText"/>
              <w:jc w:val="right"/>
              <w:rPr>
                <w:b/>
              </w:rPr>
            </w:pPr>
            <w:r w:rsidRPr="00900C71">
              <w:rPr>
                <w:b/>
              </w:rPr>
              <w:t xml:space="preserve"> 1,140 </w:t>
            </w:r>
          </w:p>
        </w:tc>
        <w:tc>
          <w:tcPr>
            <w:tcW w:w="1582" w:type="dxa"/>
            <w:gridSpan w:val="3"/>
          </w:tcPr>
          <w:p w:rsidR="00900C71" w:rsidRPr="00900C71" w:rsidRDefault="00900C71" w:rsidP="00900C71">
            <w:pPr>
              <w:pStyle w:val="FinancialsTableText"/>
              <w:jc w:val="right"/>
            </w:pPr>
            <w:r w:rsidRPr="00900C71">
              <w:t xml:space="preserve"> 849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5812" w:type="dxa"/>
          </w:tcPr>
          <w:p w:rsidR="00900C71" w:rsidRPr="00215CCB" w:rsidRDefault="00900C71" w:rsidP="00900C71">
            <w:pPr>
              <w:pStyle w:val="FinancialsTableText"/>
              <w:rPr>
                <w:b/>
              </w:rPr>
            </w:pPr>
            <w:r w:rsidRPr="00215CCB">
              <w:rPr>
                <w:b/>
              </w:rPr>
              <w:t>Total employee provisions</w:t>
            </w:r>
          </w:p>
        </w:tc>
        <w:tc>
          <w:tcPr>
            <w:tcW w:w="980" w:type="dxa"/>
          </w:tcPr>
          <w:p w:rsidR="00900C71" w:rsidRPr="00900C71" w:rsidRDefault="00900C71" w:rsidP="00900C71">
            <w:pPr>
              <w:pStyle w:val="FinancialsTableText"/>
              <w:jc w:val="right"/>
              <w:rPr>
                <w:b/>
              </w:rPr>
            </w:pPr>
            <w:r w:rsidRPr="00900C71">
              <w:rPr>
                <w:b/>
              </w:rPr>
              <w:t xml:space="preserve"> 1,140 </w:t>
            </w:r>
          </w:p>
        </w:tc>
        <w:tc>
          <w:tcPr>
            <w:tcW w:w="1582" w:type="dxa"/>
            <w:gridSpan w:val="3"/>
          </w:tcPr>
          <w:p w:rsidR="00900C71" w:rsidRPr="00900C71" w:rsidRDefault="00900C71" w:rsidP="00900C71">
            <w:pPr>
              <w:pStyle w:val="FinancialsTableText"/>
              <w:jc w:val="right"/>
            </w:pPr>
            <w:r w:rsidRPr="00900C71">
              <w:t xml:space="preserve"> 849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8374" w:type="dxa"/>
            <w:gridSpan w:val="5"/>
          </w:tcPr>
          <w:p w:rsidR="00900C71" w:rsidRPr="00900C71" w:rsidRDefault="00900C71" w:rsidP="00215CCB">
            <w:pPr>
              <w:pStyle w:val="FinancialsTableH2"/>
            </w:pPr>
            <w:r w:rsidRPr="00900C71">
              <w:t>Employee provisions expected to be settled</w:t>
            </w:r>
          </w:p>
        </w:tc>
        <w:tc>
          <w:tcPr>
            <w:tcW w:w="1512" w:type="dxa"/>
            <w:shd w:val="clear" w:color="auto" w:fill="E6E7E9"/>
          </w:tcPr>
          <w:p w:rsidR="00900C71" w:rsidRPr="00900C71" w:rsidRDefault="00900C71" w:rsidP="00900C71">
            <w:pPr>
              <w:pStyle w:val="FinancialsTableText"/>
              <w:jc w:val="right"/>
            </w:pPr>
          </w:p>
        </w:tc>
      </w:tr>
      <w:tr w:rsidR="00900C71" w:rsidRPr="00900C71" w:rsidTr="00F65A34">
        <w:trPr>
          <w:trHeight w:val="60"/>
        </w:trPr>
        <w:tc>
          <w:tcPr>
            <w:tcW w:w="5812" w:type="dxa"/>
          </w:tcPr>
          <w:p w:rsidR="00900C71" w:rsidRPr="00900C71" w:rsidRDefault="00900C71" w:rsidP="00215CCB">
            <w:pPr>
              <w:pStyle w:val="FinancialsTableTextIndented"/>
            </w:pPr>
            <w:r w:rsidRPr="00900C71">
              <w:t>No more than 12 months</w:t>
            </w:r>
          </w:p>
        </w:tc>
        <w:tc>
          <w:tcPr>
            <w:tcW w:w="980" w:type="dxa"/>
          </w:tcPr>
          <w:p w:rsidR="00900C71" w:rsidRPr="00900C71" w:rsidRDefault="00900C71" w:rsidP="00900C71">
            <w:pPr>
              <w:pStyle w:val="FinancialsTableText"/>
              <w:jc w:val="right"/>
              <w:rPr>
                <w:b/>
              </w:rPr>
            </w:pPr>
            <w:r w:rsidRPr="00900C71">
              <w:rPr>
                <w:b/>
              </w:rPr>
              <w:t xml:space="preserve"> 436 </w:t>
            </w:r>
          </w:p>
        </w:tc>
        <w:tc>
          <w:tcPr>
            <w:tcW w:w="1582" w:type="dxa"/>
            <w:gridSpan w:val="3"/>
          </w:tcPr>
          <w:p w:rsidR="00900C71" w:rsidRPr="00900C71" w:rsidRDefault="00900C71" w:rsidP="00900C71">
            <w:pPr>
              <w:pStyle w:val="FinancialsTableText"/>
              <w:jc w:val="right"/>
            </w:pPr>
            <w:r w:rsidRPr="00900C71">
              <w:t xml:space="preserve"> 348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5812" w:type="dxa"/>
          </w:tcPr>
          <w:p w:rsidR="00900C71" w:rsidRPr="00900C71" w:rsidRDefault="00900C71" w:rsidP="00215CCB">
            <w:pPr>
              <w:pStyle w:val="FinancialsTableTextIndented"/>
            </w:pPr>
            <w:r w:rsidRPr="00900C71">
              <w:t>More than 12 months</w:t>
            </w:r>
          </w:p>
        </w:tc>
        <w:tc>
          <w:tcPr>
            <w:tcW w:w="980" w:type="dxa"/>
          </w:tcPr>
          <w:p w:rsidR="00900C71" w:rsidRPr="00900C71" w:rsidRDefault="00900C71" w:rsidP="00900C71">
            <w:pPr>
              <w:pStyle w:val="FinancialsTableText"/>
              <w:jc w:val="right"/>
              <w:rPr>
                <w:b/>
              </w:rPr>
            </w:pPr>
            <w:r w:rsidRPr="00900C71">
              <w:rPr>
                <w:b/>
              </w:rPr>
              <w:t xml:space="preserve"> 704 </w:t>
            </w:r>
          </w:p>
        </w:tc>
        <w:tc>
          <w:tcPr>
            <w:tcW w:w="1582" w:type="dxa"/>
            <w:gridSpan w:val="3"/>
          </w:tcPr>
          <w:p w:rsidR="00900C71" w:rsidRPr="00900C71" w:rsidRDefault="00900C71" w:rsidP="00900C71">
            <w:pPr>
              <w:pStyle w:val="FinancialsTableText"/>
              <w:jc w:val="right"/>
            </w:pPr>
            <w:r w:rsidRPr="00900C71">
              <w:t xml:space="preserve"> 501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5812" w:type="dxa"/>
          </w:tcPr>
          <w:p w:rsidR="00900C71" w:rsidRPr="00215CCB" w:rsidRDefault="00900C71" w:rsidP="00900C71">
            <w:pPr>
              <w:pStyle w:val="FinancialsTableText"/>
              <w:rPr>
                <w:b/>
              </w:rPr>
            </w:pPr>
            <w:r w:rsidRPr="00215CCB">
              <w:rPr>
                <w:b/>
              </w:rPr>
              <w:t>Total employee provisions</w:t>
            </w:r>
          </w:p>
        </w:tc>
        <w:tc>
          <w:tcPr>
            <w:tcW w:w="980" w:type="dxa"/>
          </w:tcPr>
          <w:p w:rsidR="00900C71" w:rsidRPr="00900C71" w:rsidRDefault="00900C71" w:rsidP="00900C71">
            <w:pPr>
              <w:pStyle w:val="FinancialsTableText"/>
              <w:jc w:val="right"/>
              <w:rPr>
                <w:b/>
              </w:rPr>
            </w:pPr>
            <w:r w:rsidRPr="00900C71">
              <w:rPr>
                <w:b/>
              </w:rPr>
              <w:t xml:space="preserve"> 1,140 </w:t>
            </w:r>
          </w:p>
        </w:tc>
        <w:tc>
          <w:tcPr>
            <w:tcW w:w="1582" w:type="dxa"/>
            <w:gridSpan w:val="3"/>
          </w:tcPr>
          <w:p w:rsidR="00900C71" w:rsidRPr="00900C71" w:rsidRDefault="00900C71" w:rsidP="00900C71">
            <w:pPr>
              <w:pStyle w:val="FinancialsTableText"/>
              <w:jc w:val="right"/>
            </w:pPr>
            <w:r w:rsidRPr="00900C71">
              <w:t xml:space="preserve"> 849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8374" w:type="dxa"/>
            <w:gridSpan w:val="5"/>
          </w:tcPr>
          <w:p w:rsidR="00900C71" w:rsidRPr="00900C71" w:rsidRDefault="00900C71" w:rsidP="00215CCB">
            <w:pPr>
              <w:pStyle w:val="FinancialsTableH1"/>
            </w:pPr>
            <w:r w:rsidRPr="00900C71">
              <w:t>Note 9B: Other provisions</w:t>
            </w:r>
          </w:p>
        </w:tc>
        <w:tc>
          <w:tcPr>
            <w:tcW w:w="1512" w:type="dxa"/>
            <w:shd w:val="clear" w:color="auto" w:fill="E6E7E9"/>
          </w:tcPr>
          <w:p w:rsidR="00900C71" w:rsidRPr="00900C71" w:rsidRDefault="00900C71" w:rsidP="00900C71">
            <w:pPr>
              <w:pStyle w:val="FinancialsTableText"/>
              <w:jc w:val="right"/>
            </w:pPr>
          </w:p>
        </w:tc>
      </w:tr>
      <w:tr w:rsidR="00900C71" w:rsidRPr="00900C71" w:rsidTr="00F65A34">
        <w:trPr>
          <w:trHeight w:val="60"/>
        </w:trPr>
        <w:tc>
          <w:tcPr>
            <w:tcW w:w="5812" w:type="dxa"/>
          </w:tcPr>
          <w:p w:rsidR="00900C71" w:rsidRPr="00900C71" w:rsidRDefault="00900C71" w:rsidP="00215CCB">
            <w:pPr>
              <w:pStyle w:val="FinancialsTableTextIndented"/>
            </w:pPr>
            <w:r w:rsidRPr="00900C71">
              <w:t>Provision for restoration</w:t>
            </w:r>
            <w:r w:rsidRPr="00215CCB">
              <w:rPr>
                <w:vertAlign w:val="superscript"/>
              </w:rPr>
              <w:t>1</w:t>
            </w:r>
          </w:p>
        </w:tc>
        <w:tc>
          <w:tcPr>
            <w:tcW w:w="980" w:type="dxa"/>
          </w:tcPr>
          <w:p w:rsidR="00900C71" w:rsidRPr="00900C71" w:rsidRDefault="00900C71" w:rsidP="00900C71">
            <w:pPr>
              <w:pStyle w:val="FinancialsTableText"/>
              <w:jc w:val="right"/>
              <w:rPr>
                <w:b/>
              </w:rPr>
            </w:pPr>
            <w:r w:rsidRPr="00900C71">
              <w:rPr>
                <w:b/>
              </w:rPr>
              <w:t xml:space="preserve"> 162 </w:t>
            </w:r>
          </w:p>
        </w:tc>
        <w:tc>
          <w:tcPr>
            <w:tcW w:w="1582" w:type="dxa"/>
            <w:gridSpan w:val="3"/>
          </w:tcPr>
          <w:p w:rsidR="00900C71" w:rsidRPr="00900C71" w:rsidRDefault="00900C71" w:rsidP="00900C71">
            <w:pPr>
              <w:pStyle w:val="FinancialsTableText"/>
              <w:jc w:val="right"/>
            </w:pPr>
            <w:r w:rsidRPr="00900C71">
              <w:t xml:space="preserve"> 162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5812" w:type="dxa"/>
          </w:tcPr>
          <w:p w:rsidR="00900C71" w:rsidRPr="00215CCB" w:rsidRDefault="00900C71" w:rsidP="00900C71">
            <w:pPr>
              <w:pStyle w:val="FinancialsTableText"/>
              <w:rPr>
                <w:b/>
              </w:rPr>
            </w:pPr>
            <w:r w:rsidRPr="00215CCB">
              <w:rPr>
                <w:b/>
              </w:rPr>
              <w:t>Total other provisions</w:t>
            </w:r>
          </w:p>
        </w:tc>
        <w:tc>
          <w:tcPr>
            <w:tcW w:w="980" w:type="dxa"/>
          </w:tcPr>
          <w:p w:rsidR="00900C71" w:rsidRPr="00900C71" w:rsidRDefault="00900C71" w:rsidP="00900C71">
            <w:pPr>
              <w:pStyle w:val="FinancialsTableText"/>
              <w:jc w:val="right"/>
              <w:rPr>
                <w:b/>
              </w:rPr>
            </w:pPr>
            <w:r w:rsidRPr="00900C71">
              <w:rPr>
                <w:b/>
              </w:rPr>
              <w:t xml:space="preserve"> 162 </w:t>
            </w:r>
          </w:p>
        </w:tc>
        <w:tc>
          <w:tcPr>
            <w:tcW w:w="1582" w:type="dxa"/>
            <w:gridSpan w:val="3"/>
          </w:tcPr>
          <w:p w:rsidR="00900C71" w:rsidRPr="00900C71" w:rsidRDefault="00900C71" w:rsidP="00900C71">
            <w:pPr>
              <w:pStyle w:val="FinancialsTableText"/>
              <w:jc w:val="right"/>
            </w:pPr>
            <w:r w:rsidRPr="00900C71">
              <w:t xml:space="preserve"> 162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8374" w:type="dxa"/>
            <w:gridSpan w:val="5"/>
          </w:tcPr>
          <w:p w:rsidR="00900C71" w:rsidRPr="00900C71" w:rsidRDefault="00900C71" w:rsidP="00215CCB">
            <w:pPr>
              <w:pStyle w:val="FinancialsTableH2"/>
            </w:pPr>
            <w:r w:rsidRPr="00900C71">
              <w:t>Other provisions expected to be settled</w:t>
            </w:r>
          </w:p>
        </w:tc>
        <w:tc>
          <w:tcPr>
            <w:tcW w:w="1512" w:type="dxa"/>
            <w:shd w:val="clear" w:color="auto" w:fill="E6E7E9"/>
          </w:tcPr>
          <w:p w:rsidR="00900C71" w:rsidRPr="00900C71" w:rsidRDefault="00900C71" w:rsidP="00900C71">
            <w:pPr>
              <w:pStyle w:val="FinancialsTableText"/>
              <w:jc w:val="right"/>
            </w:pPr>
          </w:p>
        </w:tc>
      </w:tr>
      <w:tr w:rsidR="00900C71" w:rsidRPr="00900C71" w:rsidTr="00F65A34">
        <w:trPr>
          <w:trHeight w:val="60"/>
        </w:trPr>
        <w:tc>
          <w:tcPr>
            <w:tcW w:w="5812" w:type="dxa"/>
          </w:tcPr>
          <w:p w:rsidR="00900C71" w:rsidRPr="00900C71" w:rsidRDefault="00900C71" w:rsidP="00215CCB">
            <w:pPr>
              <w:pStyle w:val="FinancialsTableTextIndented"/>
            </w:pPr>
            <w:r w:rsidRPr="00900C71">
              <w:t>More than 12 months</w:t>
            </w:r>
          </w:p>
        </w:tc>
        <w:tc>
          <w:tcPr>
            <w:tcW w:w="980" w:type="dxa"/>
          </w:tcPr>
          <w:p w:rsidR="00900C71" w:rsidRPr="00900C71" w:rsidRDefault="00900C71" w:rsidP="00900C71">
            <w:pPr>
              <w:pStyle w:val="FinancialsTableText"/>
              <w:jc w:val="right"/>
              <w:rPr>
                <w:b/>
              </w:rPr>
            </w:pPr>
            <w:r w:rsidRPr="00900C71">
              <w:rPr>
                <w:b/>
              </w:rPr>
              <w:t xml:space="preserve"> 162 </w:t>
            </w:r>
          </w:p>
        </w:tc>
        <w:tc>
          <w:tcPr>
            <w:tcW w:w="1582" w:type="dxa"/>
            <w:gridSpan w:val="3"/>
          </w:tcPr>
          <w:p w:rsidR="00900C71" w:rsidRPr="00900C71" w:rsidRDefault="00900C71" w:rsidP="00900C71">
            <w:pPr>
              <w:pStyle w:val="FinancialsTableText"/>
              <w:jc w:val="right"/>
            </w:pPr>
            <w:r w:rsidRPr="00900C71">
              <w:t xml:space="preserve"> 162 </w:t>
            </w:r>
          </w:p>
        </w:tc>
        <w:tc>
          <w:tcPr>
            <w:tcW w:w="1512" w:type="dxa"/>
            <w:shd w:val="clear" w:color="auto" w:fill="E6E7E9"/>
          </w:tcPr>
          <w:p w:rsidR="00900C71" w:rsidRPr="00900C71" w:rsidRDefault="00900C71" w:rsidP="00900C71">
            <w:pPr>
              <w:pStyle w:val="FinancialsTableText"/>
              <w:jc w:val="right"/>
            </w:pPr>
            <w:r w:rsidRPr="00900C71">
              <w:t xml:space="preserve"> – </w:t>
            </w:r>
          </w:p>
        </w:tc>
      </w:tr>
      <w:tr w:rsidR="00900C71" w:rsidRPr="00900C71" w:rsidTr="00F65A34">
        <w:trPr>
          <w:trHeight w:val="60"/>
        </w:trPr>
        <w:tc>
          <w:tcPr>
            <w:tcW w:w="5812" w:type="dxa"/>
          </w:tcPr>
          <w:p w:rsidR="00900C71" w:rsidRPr="00215CCB" w:rsidRDefault="00900C71" w:rsidP="00900C71">
            <w:pPr>
              <w:pStyle w:val="FinancialsTableText"/>
              <w:rPr>
                <w:b/>
              </w:rPr>
            </w:pPr>
            <w:r w:rsidRPr="00215CCB">
              <w:rPr>
                <w:b/>
              </w:rPr>
              <w:t>Total other provisions</w:t>
            </w:r>
          </w:p>
        </w:tc>
        <w:tc>
          <w:tcPr>
            <w:tcW w:w="980" w:type="dxa"/>
          </w:tcPr>
          <w:p w:rsidR="00900C71" w:rsidRPr="00900C71" w:rsidRDefault="00900C71" w:rsidP="00900C71">
            <w:pPr>
              <w:pStyle w:val="FinancialsTableText"/>
              <w:jc w:val="right"/>
              <w:rPr>
                <w:b/>
              </w:rPr>
            </w:pPr>
            <w:r w:rsidRPr="00900C71">
              <w:rPr>
                <w:b/>
              </w:rPr>
              <w:t xml:space="preserve"> 162 </w:t>
            </w:r>
          </w:p>
        </w:tc>
        <w:tc>
          <w:tcPr>
            <w:tcW w:w="1582" w:type="dxa"/>
            <w:gridSpan w:val="3"/>
          </w:tcPr>
          <w:p w:rsidR="00900C71" w:rsidRPr="00900C71" w:rsidRDefault="00900C71" w:rsidP="00900C71">
            <w:pPr>
              <w:pStyle w:val="FinancialsTableText"/>
              <w:jc w:val="right"/>
            </w:pPr>
            <w:r w:rsidRPr="00900C71">
              <w:t xml:space="preserve"> 162 </w:t>
            </w:r>
          </w:p>
        </w:tc>
        <w:tc>
          <w:tcPr>
            <w:tcW w:w="1512" w:type="dxa"/>
            <w:shd w:val="clear" w:color="auto" w:fill="E6E7E9"/>
          </w:tcPr>
          <w:p w:rsidR="00900C71" w:rsidRPr="00900C71" w:rsidRDefault="00900C71" w:rsidP="00900C71">
            <w:pPr>
              <w:pStyle w:val="FinancialsTableText"/>
              <w:jc w:val="right"/>
            </w:pPr>
            <w:r w:rsidRPr="00900C71">
              <w:t xml:space="preserve"> – </w:t>
            </w:r>
          </w:p>
        </w:tc>
      </w:tr>
    </w:tbl>
    <w:p w:rsidR="00900C71" w:rsidRDefault="00F65A34" w:rsidP="00F65A34">
      <w:r w:rsidRPr="00F65A34">
        <w:rPr>
          <w:b/>
        </w:rPr>
        <w:t>Note</w:t>
      </w:r>
      <w:r w:rsidR="00042285">
        <w:rPr>
          <w:b/>
        </w:rPr>
        <w:br/>
      </w:r>
      <w:r>
        <w:t>1. The provision for restoration is an allowance to make good premises at end of lease.</w:t>
      </w:r>
    </w:p>
    <w:p w:rsidR="00F65A34" w:rsidRDefault="00F65A34" w:rsidP="00F65A34">
      <w:r>
        <w:br w:type="page"/>
      </w:r>
    </w:p>
    <w:p w:rsidR="00F65A34" w:rsidRDefault="00F65A34" w:rsidP="00F65A34">
      <w:pPr>
        <w:pStyle w:val="FinancialsH2"/>
      </w:pPr>
      <w:bookmarkStart w:id="33" w:name="_Toc433193213"/>
      <w:r w:rsidRPr="00F65A34">
        <w:lastRenderedPageBreak/>
        <w:t>Note 10: Cash flow reconciliation</w:t>
      </w:r>
      <w:bookmarkEnd w:id="33"/>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Cash flow reconciliation"/>
      </w:tblPr>
      <w:tblGrid>
        <w:gridCol w:w="5809"/>
        <w:gridCol w:w="1008"/>
        <w:gridCol w:w="1554"/>
        <w:gridCol w:w="1512"/>
      </w:tblGrid>
      <w:tr w:rsidR="005D1D13" w:rsidRPr="008B0470" w:rsidTr="008066D8">
        <w:trPr>
          <w:cnfStyle w:val="100000000000" w:firstRow="1" w:lastRow="0" w:firstColumn="0" w:lastColumn="0" w:oddVBand="0" w:evenVBand="0" w:oddHBand="0" w:evenHBand="0" w:firstRowFirstColumn="0" w:firstRowLastColumn="0" w:lastRowFirstColumn="0" w:lastRowLastColumn="0"/>
          <w:trHeight w:val="60"/>
        </w:trPr>
        <w:tc>
          <w:tcPr>
            <w:tcW w:w="5809" w:type="dxa"/>
          </w:tcPr>
          <w:p w:rsidR="005D1D13" w:rsidRPr="005D1D13" w:rsidRDefault="005D1D13" w:rsidP="005D1D13">
            <w:pPr>
              <w:pStyle w:val="FinancialsTableText"/>
              <w:rPr>
                <w:lang w:val="en-GB"/>
              </w:rPr>
            </w:pPr>
          </w:p>
        </w:tc>
        <w:tc>
          <w:tcPr>
            <w:tcW w:w="1008" w:type="dxa"/>
            <w:vAlign w:val="top"/>
          </w:tcPr>
          <w:p w:rsidR="005D1D13" w:rsidRPr="008B0470" w:rsidRDefault="005D1D13" w:rsidP="005D1D13">
            <w:pPr>
              <w:pStyle w:val="FinancialsTableText"/>
              <w:jc w:val="right"/>
            </w:pPr>
            <w:r w:rsidRPr="008B0470">
              <w:t>2015</w:t>
            </w:r>
            <w:r>
              <w:br/>
            </w:r>
            <w:r w:rsidRPr="005D1D13">
              <w:rPr>
                <w:b w:val="0"/>
              </w:rPr>
              <w:t>$’000</w:t>
            </w:r>
          </w:p>
        </w:tc>
        <w:tc>
          <w:tcPr>
            <w:tcW w:w="1554" w:type="dxa"/>
            <w:vAlign w:val="top"/>
          </w:tcPr>
          <w:p w:rsidR="005D1D13" w:rsidRPr="008B0470" w:rsidRDefault="005D1D13" w:rsidP="005D1D13">
            <w:pPr>
              <w:pStyle w:val="FinancialsTableText"/>
              <w:jc w:val="right"/>
            </w:pPr>
            <w:r w:rsidRPr="008B0470">
              <w:t>2014</w:t>
            </w:r>
            <w:r>
              <w:br/>
            </w:r>
            <w:r w:rsidRPr="005D1D13">
              <w:rPr>
                <w:b w:val="0"/>
              </w:rPr>
              <w:t>$’000</w:t>
            </w:r>
            <w:r w:rsidRPr="005D1D13">
              <w:rPr>
                <w:b w:val="0"/>
              </w:rPr>
              <w:br/>
              <w:t>Departmental</w:t>
            </w:r>
          </w:p>
        </w:tc>
        <w:tc>
          <w:tcPr>
            <w:tcW w:w="1512" w:type="dxa"/>
            <w:shd w:val="clear" w:color="auto" w:fill="E6E7E9"/>
            <w:vAlign w:val="top"/>
          </w:tcPr>
          <w:p w:rsidR="005D1D13" w:rsidRPr="008B0470" w:rsidRDefault="005D1D13" w:rsidP="005D1D13">
            <w:pPr>
              <w:pStyle w:val="FinancialsTableText"/>
              <w:jc w:val="right"/>
            </w:pPr>
            <w:r w:rsidRPr="008B0470">
              <w:t>2014</w:t>
            </w:r>
            <w:r>
              <w:br/>
            </w:r>
            <w:r w:rsidRPr="005D1D13">
              <w:rPr>
                <w:b w:val="0"/>
              </w:rPr>
              <w:t>$’000</w:t>
            </w:r>
            <w:r w:rsidRPr="005D1D13">
              <w:rPr>
                <w:b w:val="0"/>
              </w:rPr>
              <w:br/>
              <w:t>Administered</w:t>
            </w:r>
          </w:p>
        </w:tc>
      </w:tr>
      <w:tr w:rsidR="005D1D13" w:rsidRPr="005D1D13" w:rsidTr="008066D8">
        <w:trPr>
          <w:trHeight w:val="60"/>
        </w:trPr>
        <w:tc>
          <w:tcPr>
            <w:tcW w:w="5809" w:type="dxa"/>
          </w:tcPr>
          <w:p w:rsidR="005D1D13" w:rsidRPr="005D1D13" w:rsidRDefault="005D1D13" w:rsidP="00B13FB5">
            <w:pPr>
              <w:pStyle w:val="FinancialsTableH2"/>
              <w:rPr>
                <w:lang w:val="en-GB"/>
              </w:rPr>
            </w:pPr>
            <w:r w:rsidRPr="005D1D13">
              <w:rPr>
                <w:lang w:val="en-GB"/>
              </w:rPr>
              <w:t>Reconciliation of net cost of services to net cash from (used by) operating activities</w:t>
            </w:r>
          </w:p>
        </w:tc>
        <w:tc>
          <w:tcPr>
            <w:tcW w:w="1008" w:type="dxa"/>
          </w:tcPr>
          <w:p w:rsidR="005D1D13" w:rsidRPr="005D1D13" w:rsidRDefault="005D1D13" w:rsidP="005D1D13">
            <w:pPr>
              <w:pStyle w:val="FinancialsTableText"/>
              <w:jc w:val="right"/>
            </w:pPr>
          </w:p>
        </w:tc>
        <w:tc>
          <w:tcPr>
            <w:tcW w:w="1554" w:type="dxa"/>
          </w:tcPr>
          <w:p w:rsidR="005D1D13" w:rsidRPr="005D1D13" w:rsidRDefault="005D1D13" w:rsidP="005D1D13">
            <w:pPr>
              <w:pStyle w:val="FinancialsTableText"/>
              <w:jc w:val="right"/>
            </w:pPr>
          </w:p>
        </w:tc>
        <w:tc>
          <w:tcPr>
            <w:tcW w:w="1512" w:type="dxa"/>
            <w:shd w:val="clear" w:color="auto" w:fill="E6E7E9"/>
          </w:tcPr>
          <w:p w:rsidR="005D1D13" w:rsidRPr="005D1D13" w:rsidRDefault="005D1D13" w:rsidP="005D1D13">
            <w:pPr>
              <w:pStyle w:val="FinancialsTableText"/>
              <w:jc w:val="right"/>
            </w:pP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Net (cost) of services</w:t>
            </w:r>
          </w:p>
        </w:tc>
        <w:tc>
          <w:tcPr>
            <w:tcW w:w="1008" w:type="dxa"/>
          </w:tcPr>
          <w:p w:rsidR="005D1D13" w:rsidRPr="005D1D13" w:rsidRDefault="005D1D13" w:rsidP="005D1D13">
            <w:pPr>
              <w:pStyle w:val="FinancialsTableText"/>
              <w:jc w:val="right"/>
              <w:rPr>
                <w:b/>
                <w:lang w:val="en-GB"/>
              </w:rPr>
            </w:pPr>
            <w:r w:rsidRPr="005D1D13">
              <w:rPr>
                <w:b/>
                <w:lang w:val="en-GB"/>
              </w:rPr>
              <w:t xml:space="preserve"> (21,980)</w:t>
            </w:r>
          </w:p>
        </w:tc>
        <w:tc>
          <w:tcPr>
            <w:tcW w:w="1554" w:type="dxa"/>
          </w:tcPr>
          <w:p w:rsidR="005D1D13" w:rsidRPr="005D1D13" w:rsidRDefault="005D1D13" w:rsidP="005D1D13">
            <w:pPr>
              <w:pStyle w:val="FinancialsTableText"/>
              <w:jc w:val="right"/>
              <w:rPr>
                <w:lang w:val="en-GB"/>
              </w:rPr>
            </w:pPr>
            <w:r w:rsidRPr="005D1D13">
              <w:rPr>
                <w:lang w:val="en-GB"/>
              </w:rPr>
              <w:t xml:space="preserve"> (9,801)</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(9,295)</w:t>
            </w:r>
          </w:p>
        </w:tc>
      </w:tr>
      <w:tr w:rsidR="005D1D13"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Revenue from Government</w:t>
            </w:r>
          </w:p>
        </w:tc>
        <w:tc>
          <w:tcPr>
            <w:tcW w:w="1008" w:type="dxa"/>
          </w:tcPr>
          <w:p w:rsidR="005D1D13" w:rsidRPr="005D1D13" w:rsidRDefault="005D1D13" w:rsidP="005D1D13">
            <w:pPr>
              <w:pStyle w:val="FinancialsTableText"/>
              <w:jc w:val="right"/>
              <w:rPr>
                <w:b/>
                <w:lang w:val="en-GB"/>
              </w:rPr>
            </w:pPr>
            <w:r w:rsidRPr="005D1D13">
              <w:rPr>
                <w:b/>
                <w:lang w:val="en-GB"/>
              </w:rPr>
              <w:t xml:space="preserve"> 25,726 </w:t>
            </w:r>
          </w:p>
        </w:tc>
        <w:tc>
          <w:tcPr>
            <w:tcW w:w="1554" w:type="dxa"/>
          </w:tcPr>
          <w:p w:rsidR="005D1D13" w:rsidRPr="005D1D13" w:rsidRDefault="005D1D13" w:rsidP="005D1D13">
            <w:pPr>
              <w:pStyle w:val="FinancialsTableText"/>
              <w:jc w:val="right"/>
              <w:rPr>
                <w:lang w:val="en-GB"/>
              </w:rPr>
            </w:pPr>
            <w:r w:rsidRPr="005D1D13">
              <w:rPr>
                <w:lang w:val="en-GB"/>
              </w:rPr>
              <w:t xml:space="preserve"> 13,407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8371" w:type="dxa"/>
            <w:gridSpan w:val="3"/>
          </w:tcPr>
          <w:p w:rsidR="005D1D13" w:rsidRPr="005D1D13" w:rsidRDefault="005D1D13" w:rsidP="00B13FB5">
            <w:pPr>
              <w:pStyle w:val="FinancialsTableH2"/>
              <w:rPr>
                <w:lang w:val="en-GB"/>
              </w:rPr>
            </w:pPr>
            <w:r w:rsidRPr="005D1D13">
              <w:rPr>
                <w:lang w:val="en-GB"/>
              </w:rPr>
              <w:t>Adjustments for non-cash items</w:t>
            </w:r>
          </w:p>
        </w:tc>
        <w:tc>
          <w:tcPr>
            <w:tcW w:w="1512" w:type="dxa"/>
            <w:shd w:val="clear" w:color="auto" w:fill="E6E7E9"/>
          </w:tcPr>
          <w:p w:rsidR="005D1D13" w:rsidRPr="005D1D13" w:rsidRDefault="005D1D13" w:rsidP="005D1D13">
            <w:pPr>
              <w:pStyle w:val="FinancialsTableText"/>
              <w:jc w:val="right"/>
            </w:pPr>
          </w:p>
        </w:tc>
      </w:tr>
      <w:tr w:rsidR="005D1D13"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Depreciation / amortisation</w:t>
            </w:r>
          </w:p>
        </w:tc>
        <w:tc>
          <w:tcPr>
            <w:tcW w:w="1008" w:type="dxa"/>
          </w:tcPr>
          <w:p w:rsidR="005D1D13" w:rsidRPr="005D1D13" w:rsidRDefault="005D1D13" w:rsidP="005D1D13">
            <w:pPr>
              <w:pStyle w:val="FinancialsTableText"/>
              <w:jc w:val="right"/>
              <w:rPr>
                <w:b/>
                <w:lang w:val="en-GB"/>
              </w:rPr>
            </w:pPr>
            <w:r w:rsidRPr="005D1D13">
              <w:rPr>
                <w:b/>
                <w:lang w:val="en-GB"/>
              </w:rPr>
              <w:t xml:space="preserve"> 567 </w:t>
            </w:r>
          </w:p>
        </w:tc>
        <w:tc>
          <w:tcPr>
            <w:tcW w:w="1554" w:type="dxa"/>
          </w:tcPr>
          <w:p w:rsidR="005D1D13" w:rsidRPr="005D1D13" w:rsidRDefault="005D1D13" w:rsidP="005D1D13">
            <w:pPr>
              <w:pStyle w:val="FinancialsTableText"/>
              <w:jc w:val="right"/>
              <w:rPr>
                <w:lang w:val="en-GB"/>
              </w:rPr>
            </w:pPr>
            <w:r w:rsidRPr="005D1D13">
              <w:rPr>
                <w:lang w:val="en-GB"/>
              </w:rPr>
              <w:t xml:space="preserve"> 378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Net write-down of non financial assets</w:t>
            </w:r>
          </w:p>
        </w:tc>
        <w:tc>
          <w:tcPr>
            <w:tcW w:w="1008" w:type="dxa"/>
          </w:tcPr>
          <w:p w:rsidR="005D1D13" w:rsidRPr="005D1D13" w:rsidRDefault="005D1D13" w:rsidP="005D1D13">
            <w:pPr>
              <w:pStyle w:val="FinancialsTableText"/>
              <w:jc w:val="right"/>
              <w:rPr>
                <w:b/>
                <w:lang w:val="en-GB"/>
              </w:rPr>
            </w:pPr>
            <w:r w:rsidRPr="005D1D13">
              <w:rPr>
                <w:b/>
                <w:lang w:val="en-GB"/>
              </w:rPr>
              <w:t xml:space="preserve"> 242 </w:t>
            </w:r>
          </w:p>
        </w:tc>
        <w:tc>
          <w:tcPr>
            <w:tcW w:w="1554" w:type="dxa"/>
          </w:tcPr>
          <w:p w:rsidR="005D1D13" w:rsidRPr="005D1D13" w:rsidRDefault="005D1D13" w:rsidP="005D1D13">
            <w:pPr>
              <w:pStyle w:val="FinancialsTableText"/>
              <w:jc w:val="right"/>
              <w:rPr>
                <w:lang w:val="en-GB"/>
              </w:rPr>
            </w:pPr>
            <w:r w:rsidRPr="005D1D13">
              <w:rPr>
                <w:lang w:val="en-GB"/>
              </w:rPr>
              <w:t xml:space="preserve"> 31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8371" w:type="dxa"/>
            <w:gridSpan w:val="3"/>
          </w:tcPr>
          <w:p w:rsidR="005D1D13" w:rsidRPr="005D1D13" w:rsidRDefault="005D1D13" w:rsidP="00B13FB5">
            <w:pPr>
              <w:pStyle w:val="FinancialsTableH2"/>
              <w:rPr>
                <w:lang w:val="en-GB"/>
              </w:rPr>
            </w:pPr>
            <w:r w:rsidRPr="005D1D13">
              <w:rPr>
                <w:lang w:val="en-GB"/>
              </w:rPr>
              <w:t>Movements in assets and liabilities</w:t>
            </w:r>
          </w:p>
        </w:tc>
        <w:tc>
          <w:tcPr>
            <w:tcW w:w="1512" w:type="dxa"/>
            <w:shd w:val="clear" w:color="auto" w:fill="E6E7E9"/>
          </w:tcPr>
          <w:p w:rsidR="005D1D13" w:rsidRPr="005D1D13" w:rsidRDefault="005D1D13" w:rsidP="005D1D13">
            <w:pPr>
              <w:pStyle w:val="FinancialsTableText"/>
              <w:jc w:val="right"/>
            </w:pPr>
          </w:p>
        </w:tc>
      </w:tr>
      <w:tr w:rsidR="005D1D13" w:rsidRPr="005D1D13" w:rsidTr="008066D8">
        <w:trPr>
          <w:trHeight w:val="60"/>
        </w:trPr>
        <w:tc>
          <w:tcPr>
            <w:tcW w:w="8371" w:type="dxa"/>
            <w:gridSpan w:val="3"/>
          </w:tcPr>
          <w:p w:rsidR="005D1D13" w:rsidRPr="00B13FB5" w:rsidRDefault="005D1D13" w:rsidP="00B13FB5">
            <w:pPr>
              <w:pStyle w:val="FinancialsTableText"/>
            </w:pPr>
            <w:r w:rsidRPr="005D1D13">
              <w:rPr>
                <w:lang w:val="en-GB"/>
              </w:rPr>
              <w:t>Assets</w:t>
            </w:r>
          </w:p>
        </w:tc>
        <w:tc>
          <w:tcPr>
            <w:tcW w:w="1512" w:type="dxa"/>
            <w:shd w:val="clear" w:color="auto" w:fill="E6E7E9"/>
          </w:tcPr>
          <w:p w:rsidR="005D1D13" w:rsidRPr="005D1D13" w:rsidRDefault="005D1D13" w:rsidP="005D1D13">
            <w:pPr>
              <w:pStyle w:val="FinancialsTableText"/>
              <w:jc w:val="right"/>
            </w:pPr>
          </w:p>
        </w:tc>
      </w:tr>
      <w:tr w:rsidR="005D1D13"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net receivables</w:t>
            </w:r>
          </w:p>
        </w:tc>
        <w:tc>
          <w:tcPr>
            <w:tcW w:w="1008" w:type="dxa"/>
          </w:tcPr>
          <w:p w:rsidR="005D1D13" w:rsidRPr="005D1D13" w:rsidRDefault="005D1D13" w:rsidP="005D1D13">
            <w:pPr>
              <w:pStyle w:val="FinancialsTableText"/>
              <w:jc w:val="right"/>
              <w:rPr>
                <w:b/>
                <w:lang w:val="en-GB"/>
              </w:rPr>
            </w:pPr>
            <w:r w:rsidRPr="005D1D13">
              <w:rPr>
                <w:b/>
                <w:lang w:val="en-GB"/>
              </w:rPr>
              <w:t xml:space="preserve"> (3,390)</w:t>
            </w:r>
          </w:p>
        </w:tc>
        <w:tc>
          <w:tcPr>
            <w:tcW w:w="1554" w:type="dxa"/>
          </w:tcPr>
          <w:p w:rsidR="005D1D13" w:rsidRPr="005D1D13" w:rsidRDefault="005D1D13" w:rsidP="005D1D13">
            <w:pPr>
              <w:pStyle w:val="FinancialsTableText"/>
              <w:jc w:val="right"/>
              <w:rPr>
                <w:lang w:val="en-GB"/>
              </w:rPr>
            </w:pPr>
            <w:r w:rsidRPr="005D1D13">
              <w:rPr>
                <w:lang w:val="en-GB"/>
              </w:rPr>
              <w:t xml:space="preserve"> (1,918)</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1,414 </w:t>
            </w: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prepayments</w:t>
            </w:r>
          </w:p>
        </w:tc>
        <w:tc>
          <w:tcPr>
            <w:tcW w:w="1008" w:type="dxa"/>
          </w:tcPr>
          <w:p w:rsidR="005D1D13" w:rsidRPr="005D1D13" w:rsidRDefault="005D1D13" w:rsidP="005D1D13">
            <w:pPr>
              <w:pStyle w:val="FinancialsTableText"/>
              <w:jc w:val="right"/>
              <w:rPr>
                <w:b/>
                <w:lang w:val="en-GB"/>
              </w:rPr>
            </w:pPr>
            <w:r w:rsidRPr="005D1D13">
              <w:rPr>
                <w:b/>
                <w:lang w:val="en-GB"/>
              </w:rPr>
              <w:t xml:space="preserve"> (4)</w:t>
            </w:r>
          </w:p>
        </w:tc>
        <w:tc>
          <w:tcPr>
            <w:tcW w:w="1554" w:type="dxa"/>
          </w:tcPr>
          <w:p w:rsidR="005D1D13" w:rsidRPr="005D1D13" w:rsidRDefault="005D1D13" w:rsidP="005D1D13">
            <w:pPr>
              <w:pStyle w:val="FinancialsTableText"/>
              <w:jc w:val="right"/>
              <w:rPr>
                <w:lang w:val="en-GB"/>
              </w:rPr>
            </w:pPr>
            <w:r w:rsidRPr="005D1D13">
              <w:rPr>
                <w:lang w:val="en-GB"/>
              </w:rPr>
              <w:t xml:space="preserve"> –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8371" w:type="dxa"/>
            <w:gridSpan w:val="3"/>
          </w:tcPr>
          <w:p w:rsidR="005D1D13" w:rsidRPr="005D1D13" w:rsidRDefault="005D1D13" w:rsidP="00B13FB5">
            <w:pPr>
              <w:pStyle w:val="FinancialsTableText"/>
              <w:spacing w:before="120"/>
              <w:rPr>
                <w:lang w:val="en-GB"/>
              </w:rPr>
            </w:pPr>
            <w:r w:rsidRPr="005D1D13">
              <w:rPr>
                <w:lang w:val="en-GB"/>
              </w:rPr>
              <w:t>Liabilities</w:t>
            </w:r>
          </w:p>
        </w:tc>
        <w:tc>
          <w:tcPr>
            <w:tcW w:w="1512" w:type="dxa"/>
            <w:shd w:val="clear" w:color="auto" w:fill="E6E7E9"/>
          </w:tcPr>
          <w:p w:rsidR="005D1D13" w:rsidRPr="005D1D13" w:rsidRDefault="005D1D13" w:rsidP="005D1D13">
            <w:pPr>
              <w:pStyle w:val="FinancialsTableText"/>
              <w:jc w:val="right"/>
            </w:pP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employee provisions</w:t>
            </w:r>
          </w:p>
        </w:tc>
        <w:tc>
          <w:tcPr>
            <w:tcW w:w="1008" w:type="dxa"/>
          </w:tcPr>
          <w:p w:rsidR="005D1D13" w:rsidRPr="005D1D13" w:rsidRDefault="005D1D13" w:rsidP="005D1D13">
            <w:pPr>
              <w:pStyle w:val="FinancialsTableText"/>
              <w:jc w:val="right"/>
              <w:rPr>
                <w:b/>
                <w:lang w:val="en-GB"/>
              </w:rPr>
            </w:pPr>
            <w:r w:rsidRPr="005D1D13">
              <w:rPr>
                <w:b/>
                <w:lang w:val="en-GB"/>
              </w:rPr>
              <w:t xml:space="preserve"> 291 </w:t>
            </w:r>
          </w:p>
        </w:tc>
        <w:tc>
          <w:tcPr>
            <w:tcW w:w="1554" w:type="dxa"/>
          </w:tcPr>
          <w:p w:rsidR="005D1D13" w:rsidRPr="005D1D13" w:rsidRDefault="005D1D13" w:rsidP="005D1D13">
            <w:pPr>
              <w:pStyle w:val="FinancialsTableText"/>
              <w:jc w:val="right"/>
              <w:rPr>
                <w:lang w:val="en-GB"/>
              </w:rPr>
            </w:pPr>
            <w:r w:rsidRPr="005D1D13">
              <w:rPr>
                <w:lang w:val="en-GB"/>
              </w:rPr>
              <w:t xml:space="preserve"> 16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supplier payables</w:t>
            </w:r>
          </w:p>
        </w:tc>
        <w:tc>
          <w:tcPr>
            <w:tcW w:w="1008" w:type="dxa"/>
          </w:tcPr>
          <w:p w:rsidR="005D1D13" w:rsidRPr="005D1D13" w:rsidRDefault="005D1D13" w:rsidP="005D1D13">
            <w:pPr>
              <w:pStyle w:val="FinancialsTableText"/>
              <w:jc w:val="right"/>
              <w:rPr>
                <w:b/>
                <w:lang w:val="en-GB"/>
              </w:rPr>
            </w:pPr>
            <w:r w:rsidRPr="005D1D13">
              <w:rPr>
                <w:b/>
                <w:lang w:val="en-GB"/>
              </w:rPr>
              <w:t xml:space="preserve"> 3,516 </w:t>
            </w:r>
          </w:p>
        </w:tc>
        <w:tc>
          <w:tcPr>
            <w:tcW w:w="1554" w:type="dxa"/>
          </w:tcPr>
          <w:p w:rsidR="005D1D13" w:rsidRPr="005D1D13" w:rsidRDefault="005D1D13" w:rsidP="005D1D13">
            <w:pPr>
              <w:pStyle w:val="FinancialsTableText"/>
              <w:jc w:val="right"/>
              <w:rPr>
                <w:lang w:val="en-GB"/>
              </w:rPr>
            </w:pPr>
            <w:r w:rsidRPr="005D1D13">
              <w:rPr>
                <w:lang w:val="en-GB"/>
              </w:rPr>
              <w:t xml:space="preserve"> 152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1,436 </w:t>
            </w: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other payables</w:t>
            </w:r>
          </w:p>
        </w:tc>
        <w:tc>
          <w:tcPr>
            <w:tcW w:w="1008" w:type="dxa"/>
          </w:tcPr>
          <w:p w:rsidR="005D1D13" w:rsidRPr="005D1D13" w:rsidRDefault="005D1D13" w:rsidP="005D1D13">
            <w:pPr>
              <w:pStyle w:val="FinancialsTableText"/>
              <w:jc w:val="right"/>
              <w:rPr>
                <w:b/>
                <w:lang w:val="en-GB"/>
              </w:rPr>
            </w:pPr>
            <w:r w:rsidRPr="005D1D13">
              <w:rPr>
                <w:b/>
                <w:lang w:val="en-GB"/>
              </w:rPr>
              <w:t xml:space="preserve"> (43)</w:t>
            </w:r>
          </w:p>
        </w:tc>
        <w:tc>
          <w:tcPr>
            <w:tcW w:w="1554" w:type="dxa"/>
          </w:tcPr>
          <w:p w:rsidR="005D1D13" w:rsidRPr="005D1D13" w:rsidRDefault="005D1D13" w:rsidP="005D1D13">
            <w:pPr>
              <w:pStyle w:val="FinancialsTableText"/>
              <w:jc w:val="right"/>
              <w:rPr>
                <w:lang w:val="en-GB"/>
              </w:rPr>
            </w:pPr>
            <w:r w:rsidRPr="005D1D13">
              <w:rPr>
                <w:lang w:val="en-GB"/>
              </w:rPr>
              <w:t xml:space="preserve"> (1,692)</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Increase (Decrease) in other provisions</w:t>
            </w:r>
          </w:p>
        </w:tc>
        <w:tc>
          <w:tcPr>
            <w:tcW w:w="1008" w:type="dxa"/>
          </w:tcPr>
          <w:p w:rsidR="005D1D13" w:rsidRPr="005D1D13" w:rsidRDefault="005D1D13" w:rsidP="005D1D13">
            <w:pPr>
              <w:pStyle w:val="FinancialsTableText"/>
              <w:jc w:val="right"/>
              <w:rPr>
                <w:b/>
                <w:lang w:val="en-GB"/>
              </w:rPr>
            </w:pPr>
            <w:r w:rsidRPr="005D1D13">
              <w:rPr>
                <w:b/>
                <w:lang w:val="en-GB"/>
              </w:rPr>
              <w:t xml:space="preserve"> – </w:t>
            </w:r>
          </w:p>
        </w:tc>
        <w:tc>
          <w:tcPr>
            <w:tcW w:w="1554" w:type="dxa"/>
          </w:tcPr>
          <w:p w:rsidR="005D1D13" w:rsidRPr="005D1D13" w:rsidRDefault="005D1D13" w:rsidP="005D1D13">
            <w:pPr>
              <w:pStyle w:val="FinancialsTableText"/>
              <w:jc w:val="right"/>
              <w:rPr>
                <w:lang w:val="en-GB"/>
              </w:rPr>
            </w:pPr>
            <w:r w:rsidRPr="005D1D13">
              <w:rPr>
                <w:lang w:val="en-GB"/>
              </w:rPr>
              <w:t xml:space="preserve"> 7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8066D8" w:rsidRPr="005D1D13" w:rsidTr="008066D8">
        <w:trPr>
          <w:trHeight w:val="60"/>
        </w:trPr>
        <w:tc>
          <w:tcPr>
            <w:tcW w:w="5809" w:type="dxa"/>
          </w:tcPr>
          <w:p w:rsidR="005D1D13" w:rsidRPr="005D1D13" w:rsidRDefault="005D1D13" w:rsidP="00B13FB5">
            <w:pPr>
              <w:pStyle w:val="FinancialsTableTextIndented"/>
              <w:rPr>
                <w:lang w:val="en-GB"/>
              </w:rPr>
            </w:pPr>
            <w:r w:rsidRPr="005D1D13">
              <w:rPr>
                <w:lang w:val="en-GB"/>
              </w:rPr>
              <w:t xml:space="preserve">Increase (Decrease) in inter agency payable for expenses paid by Department of Health </w:t>
            </w:r>
          </w:p>
        </w:tc>
        <w:tc>
          <w:tcPr>
            <w:tcW w:w="1008" w:type="dxa"/>
          </w:tcPr>
          <w:p w:rsidR="005D1D13" w:rsidRPr="005D1D13" w:rsidRDefault="005D1D13" w:rsidP="005D1D13">
            <w:pPr>
              <w:pStyle w:val="FinancialsTableText"/>
              <w:jc w:val="right"/>
              <w:rPr>
                <w:b/>
                <w:lang w:val="en-GB"/>
              </w:rPr>
            </w:pPr>
            <w:r w:rsidRPr="005D1D13">
              <w:rPr>
                <w:b/>
                <w:lang w:val="en-GB"/>
              </w:rPr>
              <w:t xml:space="preserve"> – </w:t>
            </w:r>
          </w:p>
        </w:tc>
        <w:tc>
          <w:tcPr>
            <w:tcW w:w="1554" w:type="dxa"/>
          </w:tcPr>
          <w:p w:rsidR="005D1D13" w:rsidRPr="005D1D13" w:rsidRDefault="005D1D13" w:rsidP="005D1D13">
            <w:pPr>
              <w:pStyle w:val="FinancialsTableText"/>
              <w:jc w:val="right"/>
              <w:rPr>
                <w:lang w:val="en-GB"/>
              </w:rPr>
            </w:pPr>
            <w:r w:rsidRPr="005D1D13">
              <w:rPr>
                <w:lang w:val="en-GB"/>
              </w:rPr>
              <w:t xml:space="preserve"> (489)</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 </w:t>
            </w:r>
          </w:p>
        </w:tc>
      </w:tr>
      <w:tr w:rsidR="005D1D13" w:rsidRPr="005D1D13" w:rsidTr="008066D8">
        <w:trPr>
          <w:trHeight w:val="60"/>
        </w:trPr>
        <w:tc>
          <w:tcPr>
            <w:tcW w:w="5809" w:type="dxa"/>
          </w:tcPr>
          <w:p w:rsidR="005D1D13" w:rsidRPr="00B13FB5" w:rsidRDefault="005D1D13" w:rsidP="005D1D13">
            <w:pPr>
              <w:pStyle w:val="FinancialsTableText"/>
              <w:rPr>
                <w:b/>
                <w:lang w:val="en-GB"/>
              </w:rPr>
            </w:pPr>
            <w:r w:rsidRPr="00B13FB5">
              <w:rPr>
                <w:b/>
                <w:lang w:val="en-GB"/>
              </w:rPr>
              <w:t>Net cash from (used by) operating activities</w:t>
            </w:r>
          </w:p>
        </w:tc>
        <w:tc>
          <w:tcPr>
            <w:tcW w:w="1008" w:type="dxa"/>
          </w:tcPr>
          <w:p w:rsidR="005D1D13" w:rsidRPr="005D1D13" w:rsidRDefault="005D1D13" w:rsidP="005D1D13">
            <w:pPr>
              <w:pStyle w:val="FinancialsTableText"/>
              <w:jc w:val="right"/>
              <w:rPr>
                <w:b/>
                <w:lang w:val="en-GB"/>
              </w:rPr>
            </w:pPr>
            <w:r w:rsidRPr="005D1D13">
              <w:rPr>
                <w:b/>
                <w:lang w:val="en-GB"/>
              </w:rPr>
              <w:t xml:space="preserve"> 4,925 </w:t>
            </w:r>
          </w:p>
        </w:tc>
        <w:tc>
          <w:tcPr>
            <w:tcW w:w="1554" w:type="dxa"/>
          </w:tcPr>
          <w:p w:rsidR="005D1D13" w:rsidRPr="005D1D13" w:rsidRDefault="005D1D13" w:rsidP="005D1D13">
            <w:pPr>
              <w:pStyle w:val="FinancialsTableText"/>
              <w:jc w:val="right"/>
              <w:rPr>
                <w:lang w:val="en-GB"/>
              </w:rPr>
            </w:pPr>
            <w:r w:rsidRPr="005D1D13">
              <w:rPr>
                <w:lang w:val="en-GB"/>
              </w:rPr>
              <w:t xml:space="preserve"> 91 </w:t>
            </w:r>
          </w:p>
        </w:tc>
        <w:tc>
          <w:tcPr>
            <w:tcW w:w="1512" w:type="dxa"/>
            <w:shd w:val="clear" w:color="auto" w:fill="E6E7E9"/>
          </w:tcPr>
          <w:p w:rsidR="005D1D13" w:rsidRPr="005D1D13" w:rsidRDefault="005D1D13" w:rsidP="005D1D13">
            <w:pPr>
              <w:pStyle w:val="FinancialsTableText"/>
              <w:jc w:val="right"/>
              <w:rPr>
                <w:lang w:val="en-GB"/>
              </w:rPr>
            </w:pPr>
            <w:r w:rsidRPr="005D1D13">
              <w:rPr>
                <w:lang w:val="en-GB"/>
              </w:rPr>
              <w:t xml:space="preserve"> (6,445)</w:t>
            </w:r>
          </w:p>
        </w:tc>
      </w:tr>
    </w:tbl>
    <w:p w:rsidR="00731A90" w:rsidRDefault="00731A90" w:rsidP="00731A90">
      <w:pPr>
        <w:pStyle w:val="FinancialsH2"/>
      </w:pPr>
      <w:bookmarkStart w:id="34" w:name="_Toc433193214"/>
      <w:r>
        <w:t>Note 11: Contingent assets and liabilities</w:t>
      </w:r>
      <w:bookmarkEnd w:id="34"/>
    </w:p>
    <w:p w:rsidR="00731A90" w:rsidRDefault="00731A90" w:rsidP="00731A90">
      <w:pPr>
        <w:pStyle w:val="FinancialsH3"/>
      </w:pPr>
      <w:r>
        <w:t>Quantifiable contingencies</w:t>
      </w:r>
    </w:p>
    <w:p w:rsidR="00731A90" w:rsidRDefault="00731A90" w:rsidP="00731A90">
      <w:r>
        <w:t>There were no quantifiable contingent assets or liabilities in this reporting period (2014: nil).</w:t>
      </w:r>
    </w:p>
    <w:p w:rsidR="00731A90" w:rsidRDefault="00731A90" w:rsidP="00731A90">
      <w:pPr>
        <w:pStyle w:val="FinancialsH3"/>
      </w:pPr>
      <w:r>
        <w:t>Unquantifiable contingencies</w:t>
      </w:r>
    </w:p>
    <w:p w:rsidR="00731A90" w:rsidRDefault="00731A90" w:rsidP="00731A90">
      <w:r>
        <w:t>There were no unquantifiable contingent assets or liabilities in this reporting period (2014: nil).</w:t>
      </w:r>
    </w:p>
    <w:p w:rsidR="00731A90" w:rsidRDefault="00731A90" w:rsidP="00731A90">
      <w:pPr>
        <w:pStyle w:val="FinancialsH3"/>
      </w:pPr>
      <w:r>
        <w:t>Significant remote contingencies</w:t>
      </w:r>
    </w:p>
    <w:p w:rsidR="00F65A34" w:rsidRDefault="00731A90" w:rsidP="00731A90">
      <w:r>
        <w:t>There were no significant remote contingent assets or liabilities in this reporting period (2014: nil).</w:t>
      </w:r>
    </w:p>
    <w:p w:rsidR="00D915ED" w:rsidRDefault="00D915ED" w:rsidP="00731A90">
      <w:pPr>
        <w:pStyle w:val="FinancialsH2"/>
      </w:pPr>
      <w:r>
        <w:br w:type="page"/>
      </w:r>
    </w:p>
    <w:p w:rsidR="00731A90" w:rsidRDefault="00731A90" w:rsidP="00731A90">
      <w:pPr>
        <w:pStyle w:val="FinancialsH2"/>
      </w:pPr>
      <w:bookmarkStart w:id="35" w:name="_Toc433193215"/>
      <w:r w:rsidRPr="00731A90">
        <w:t>Note 12: Senior management personnel remuneration</w:t>
      </w:r>
      <w:bookmarkEnd w:id="35"/>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enior management personnel remuneration"/>
      </w:tblPr>
      <w:tblGrid>
        <w:gridCol w:w="7475"/>
        <w:gridCol w:w="1232"/>
        <w:gridCol w:w="1176"/>
      </w:tblGrid>
      <w:tr w:rsidR="00731A90" w:rsidRPr="00731A90" w:rsidTr="00731A90">
        <w:trPr>
          <w:cnfStyle w:val="100000000000" w:firstRow="1" w:lastRow="0" w:firstColumn="0" w:lastColumn="0" w:oddVBand="0" w:evenVBand="0" w:oddHBand="0" w:evenHBand="0" w:firstRowFirstColumn="0" w:firstRowLastColumn="0" w:lastRowFirstColumn="0" w:lastRowLastColumn="0"/>
          <w:trHeight w:val="60"/>
        </w:trPr>
        <w:tc>
          <w:tcPr>
            <w:tcW w:w="7475" w:type="dxa"/>
          </w:tcPr>
          <w:p w:rsidR="00731A90" w:rsidRPr="00731A90" w:rsidRDefault="00731A90" w:rsidP="00731A90">
            <w:pPr>
              <w:pStyle w:val="FinancialsTableText"/>
            </w:pPr>
          </w:p>
        </w:tc>
        <w:tc>
          <w:tcPr>
            <w:tcW w:w="1232" w:type="dxa"/>
          </w:tcPr>
          <w:p w:rsidR="00731A90" w:rsidRPr="00731A90" w:rsidRDefault="00731A90" w:rsidP="00731A90">
            <w:pPr>
              <w:pStyle w:val="FinancialsTableText"/>
              <w:jc w:val="right"/>
            </w:pPr>
            <w:r w:rsidRPr="00731A90">
              <w:t>2015</w:t>
            </w:r>
            <w:r>
              <w:br/>
            </w:r>
            <w:r w:rsidRPr="00731A90">
              <w:rPr>
                <w:b w:val="0"/>
              </w:rPr>
              <w:t>$</w:t>
            </w:r>
          </w:p>
        </w:tc>
        <w:tc>
          <w:tcPr>
            <w:tcW w:w="1176" w:type="dxa"/>
          </w:tcPr>
          <w:p w:rsidR="00731A90" w:rsidRPr="00731A90" w:rsidRDefault="00731A90" w:rsidP="00731A90">
            <w:pPr>
              <w:pStyle w:val="FinancialsTableText"/>
              <w:jc w:val="right"/>
            </w:pPr>
            <w:r w:rsidRPr="00731A90">
              <w:t>2014</w:t>
            </w:r>
            <w:r>
              <w:br/>
            </w:r>
            <w:r w:rsidRPr="00731A90">
              <w:rPr>
                <w:b w:val="0"/>
              </w:rPr>
              <w:t>$</w:t>
            </w:r>
          </w:p>
        </w:tc>
      </w:tr>
      <w:tr w:rsidR="00731A90" w:rsidRPr="00731A90" w:rsidTr="00731A90">
        <w:trPr>
          <w:trHeight w:val="60"/>
        </w:trPr>
        <w:tc>
          <w:tcPr>
            <w:tcW w:w="7475" w:type="dxa"/>
          </w:tcPr>
          <w:p w:rsidR="00731A90" w:rsidRPr="00731A90" w:rsidRDefault="00731A90" w:rsidP="00731A90">
            <w:pPr>
              <w:pStyle w:val="FinancialsTableH2"/>
            </w:pPr>
            <w:r w:rsidRPr="00731A90">
              <w:t>Short-term employee benefits</w:t>
            </w:r>
          </w:p>
        </w:tc>
        <w:tc>
          <w:tcPr>
            <w:tcW w:w="1232" w:type="dxa"/>
          </w:tcPr>
          <w:p w:rsidR="00731A90" w:rsidRPr="00731A90" w:rsidRDefault="00731A90" w:rsidP="00731A90">
            <w:pPr>
              <w:pStyle w:val="FinancialsTableText"/>
              <w:jc w:val="right"/>
              <w:rPr>
                <w:b/>
              </w:rPr>
            </w:pPr>
          </w:p>
        </w:tc>
        <w:tc>
          <w:tcPr>
            <w:tcW w:w="1176" w:type="dxa"/>
          </w:tcPr>
          <w:p w:rsidR="00731A90" w:rsidRPr="00731A90" w:rsidRDefault="00731A90" w:rsidP="00731A90">
            <w:pPr>
              <w:pStyle w:val="FinancialsTableText"/>
              <w:jc w:val="right"/>
            </w:pPr>
          </w:p>
        </w:tc>
      </w:tr>
      <w:tr w:rsidR="00731A90" w:rsidRPr="00731A90" w:rsidTr="00731A90">
        <w:trPr>
          <w:trHeight w:val="60"/>
        </w:trPr>
        <w:tc>
          <w:tcPr>
            <w:tcW w:w="7475" w:type="dxa"/>
          </w:tcPr>
          <w:p w:rsidR="00731A90" w:rsidRPr="00731A90" w:rsidRDefault="00731A90" w:rsidP="00731A90">
            <w:pPr>
              <w:pStyle w:val="FinancialsTableTextIndented"/>
            </w:pPr>
            <w:r w:rsidRPr="00731A90">
              <w:t>Salary</w:t>
            </w:r>
          </w:p>
        </w:tc>
        <w:tc>
          <w:tcPr>
            <w:tcW w:w="1232" w:type="dxa"/>
          </w:tcPr>
          <w:p w:rsidR="00731A90" w:rsidRPr="00731A90" w:rsidRDefault="00731A90" w:rsidP="00731A90">
            <w:pPr>
              <w:pStyle w:val="FinancialsTableText"/>
              <w:jc w:val="right"/>
              <w:rPr>
                <w:b/>
              </w:rPr>
            </w:pPr>
            <w:r w:rsidRPr="00731A90">
              <w:rPr>
                <w:b/>
              </w:rPr>
              <w:t xml:space="preserve"> 471,930 </w:t>
            </w:r>
          </w:p>
        </w:tc>
        <w:tc>
          <w:tcPr>
            <w:tcW w:w="1176" w:type="dxa"/>
          </w:tcPr>
          <w:p w:rsidR="00731A90" w:rsidRPr="00731A90" w:rsidRDefault="00731A90" w:rsidP="00731A90">
            <w:pPr>
              <w:pStyle w:val="FinancialsTableText"/>
              <w:jc w:val="right"/>
            </w:pPr>
            <w:r w:rsidRPr="00731A90">
              <w:t xml:space="preserve"> 464,745 </w:t>
            </w:r>
          </w:p>
        </w:tc>
      </w:tr>
      <w:tr w:rsidR="00731A90" w:rsidRPr="00731A90" w:rsidTr="00731A90">
        <w:trPr>
          <w:trHeight w:val="60"/>
        </w:trPr>
        <w:tc>
          <w:tcPr>
            <w:tcW w:w="7475" w:type="dxa"/>
          </w:tcPr>
          <w:p w:rsidR="00731A90" w:rsidRPr="00731A90" w:rsidRDefault="00731A90" w:rsidP="00731A90">
            <w:pPr>
              <w:pStyle w:val="FinancialsTableTextIndented"/>
            </w:pPr>
            <w:r w:rsidRPr="00731A90">
              <w:t>Allowances including motor vehicle</w:t>
            </w:r>
          </w:p>
        </w:tc>
        <w:tc>
          <w:tcPr>
            <w:tcW w:w="1232" w:type="dxa"/>
          </w:tcPr>
          <w:p w:rsidR="00731A90" w:rsidRPr="00731A90" w:rsidRDefault="00731A90" w:rsidP="00731A90">
            <w:pPr>
              <w:pStyle w:val="FinancialsTableText"/>
              <w:jc w:val="right"/>
              <w:rPr>
                <w:b/>
              </w:rPr>
            </w:pPr>
            <w:r w:rsidRPr="00731A90">
              <w:rPr>
                <w:b/>
              </w:rPr>
              <w:t xml:space="preserve"> 117,353 </w:t>
            </w:r>
          </w:p>
        </w:tc>
        <w:tc>
          <w:tcPr>
            <w:tcW w:w="1176" w:type="dxa"/>
          </w:tcPr>
          <w:p w:rsidR="00731A90" w:rsidRPr="00731A90" w:rsidRDefault="00731A90" w:rsidP="00731A90">
            <w:pPr>
              <w:pStyle w:val="FinancialsTableText"/>
              <w:jc w:val="right"/>
            </w:pPr>
            <w:r w:rsidRPr="00731A90">
              <w:t xml:space="preserve"> 119,806 </w:t>
            </w:r>
          </w:p>
        </w:tc>
      </w:tr>
      <w:tr w:rsidR="00731A90" w:rsidRPr="00731A90" w:rsidTr="00731A90">
        <w:trPr>
          <w:trHeight w:val="60"/>
        </w:trPr>
        <w:tc>
          <w:tcPr>
            <w:tcW w:w="7475" w:type="dxa"/>
          </w:tcPr>
          <w:p w:rsidR="00731A90" w:rsidRPr="00731A90" w:rsidRDefault="00731A90" w:rsidP="00731A90">
            <w:pPr>
              <w:pStyle w:val="FinancialsTableText"/>
            </w:pPr>
            <w:r w:rsidRPr="00731A90">
              <w:t>Total short-term employee benefits</w:t>
            </w:r>
          </w:p>
        </w:tc>
        <w:tc>
          <w:tcPr>
            <w:tcW w:w="1232" w:type="dxa"/>
          </w:tcPr>
          <w:p w:rsidR="00731A90" w:rsidRPr="00731A90" w:rsidRDefault="00731A90" w:rsidP="00731A90">
            <w:pPr>
              <w:pStyle w:val="FinancialsTableText"/>
              <w:jc w:val="right"/>
              <w:rPr>
                <w:b/>
              </w:rPr>
            </w:pPr>
            <w:r w:rsidRPr="00731A90">
              <w:rPr>
                <w:b/>
              </w:rPr>
              <w:t xml:space="preserve"> 589,283 </w:t>
            </w:r>
          </w:p>
        </w:tc>
        <w:tc>
          <w:tcPr>
            <w:tcW w:w="1176" w:type="dxa"/>
          </w:tcPr>
          <w:p w:rsidR="00731A90" w:rsidRPr="00731A90" w:rsidRDefault="00731A90" w:rsidP="00731A90">
            <w:pPr>
              <w:pStyle w:val="FinancialsTableText"/>
              <w:jc w:val="right"/>
            </w:pPr>
            <w:r w:rsidRPr="00731A90">
              <w:t xml:space="preserve"> 584,551 </w:t>
            </w:r>
          </w:p>
        </w:tc>
      </w:tr>
      <w:tr w:rsidR="00731A90" w:rsidRPr="00731A90" w:rsidTr="00731A90">
        <w:trPr>
          <w:trHeight w:val="60"/>
        </w:trPr>
        <w:tc>
          <w:tcPr>
            <w:tcW w:w="7475" w:type="dxa"/>
          </w:tcPr>
          <w:p w:rsidR="00731A90" w:rsidRPr="00731A90" w:rsidRDefault="00731A90" w:rsidP="00731A90">
            <w:pPr>
              <w:pStyle w:val="FinancialsTableH2"/>
            </w:pPr>
            <w:r w:rsidRPr="00731A90">
              <w:t>Post-employment benefits</w:t>
            </w:r>
          </w:p>
        </w:tc>
        <w:tc>
          <w:tcPr>
            <w:tcW w:w="1232" w:type="dxa"/>
          </w:tcPr>
          <w:p w:rsidR="00731A90" w:rsidRPr="00731A90" w:rsidRDefault="00731A90" w:rsidP="00731A90">
            <w:pPr>
              <w:pStyle w:val="FinancialsTableText"/>
              <w:jc w:val="right"/>
              <w:rPr>
                <w:b/>
              </w:rPr>
            </w:pPr>
          </w:p>
        </w:tc>
        <w:tc>
          <w:tcPr>
            <w:tcW w:w="1176" w:type="dxa"/>
          </w:tcPr>
          <w:p w:rsidR="00731A90" w:rsidRPr="00731A90" w:rsidRDefault="00731A90" w:rsidP="00731A90">
            <w:pPr>
              <w:pStyle w:val="FinancialsTableText"/>
              <w:jc w:val="right"/>
            </w:pPr>
          </w:p>
        </w:tc>
      </w:tr>
      <w:tr w:rsidR="00731A90" w:rsidRPr="00731A90" w:rsidTr="00731A90">
        <w:trPr>
          <w:trHeight w:val="60"/>
        </w:trPr>
        <w:tc>
          <w:tcPr>
            <w:tcW w:w="7475" w:type="dxa"/>
          </w:tcPr>
          <w:p w:rsidR="00731A90" w:rsidRPr="00731A90" w:rsidRDefault="00731A90" w:rsidP="00731A90">
            <w:pPr>
              <w:pStyle w:val="FinancialsTableTextIndented"/>
            </w:pPr>
            <w:r w:rsidRPr="00731A90">
              <w:t>Superannuation</w:t>
            </w:r>
          </w:p>
        </w:tc>
        <w:tc>
          <w:tcPr>
            <w:tcW w:w="1232" w:type="dxa"/>
          </w:tcPr>
          <w:p w:rsidR="00731A90" w:rsidRPr="00731A90" w:rsidRDefault="00731A90" w:rsidP="00731A90">
            <w:pPr>
              <w:pStyle w:val="FinancialsTableText"/>
              <w:jc w:val="right"/>
              <w:rPr>
                <w:b/>
              </w:rPr>
            </w:pPr>
            <w:r w:rsidRPr="00731A90">
              <w:rPr>
                <w:b/>
              </w:rPr>
              <w:t xml:space="preserve"> 82,058 </w:t>
            </w:r>
          </w:p>
        </w:tc>
        <w:tc>
          <w:tcPr>
            <w:tcW w:w="1176" w:type="dxa"/>
          </w:tcPr>
          <w:p w:rsidR="00731A90" w:rsidRPr="00731A90" w:rsidRDefault="00731A90" w:rsidP="00731A90">
            <w:pPr>
              <w:pStyle w:val="FinancialsTableText"/>
              <w:jc w:val="right"/>
            </w:pPr>
            <w:r w:rsidRPr="00731A90">
              <w:t xml:space="preserve"> 84,752 </w:t>
            </w:r>
          </w:p>
        </w:tc>
      </w:tr>
      <w:tr w:rsidR="00731A90" w:rsidRPr="00731A90" w:rsidTr="00731A90">
        <w:trPr>
          <w:trHeight w:val="60"/>
        </w:trPr>
        <w:tc>
          <w:tcPr>
            <w:tcW w:w="7475" w:type="dxa"/>
          </w:tcPr>
          <w:p w:rsidR="00731A90" w:rsidRPr="00731A90" w:rsidRDefault="00731A90" w:rsidP="00731A90">
            <w:pPr>
              <w:pStyle w:val="FinancialsTableText"/>
            </w:pPr>
            <w:r w:rsidRPr="00731A90">
              <w:t>Total post-employment benefits</w:t>
            </w:r>
          </w:p>
        </w:tc>
        <w:tc>
          <w:tcPr>
            <w:tcW w:w="1232" w:type="dxa"/>
          </w:tcPr>
          <w:p w:rsidR="00731A90" w:rsidRPr="00731A90" w:rsidRDefault="00731A90" w:rsidP="00731A90">
            <w:pPr>
              <w:pStyle w:val="FinancialsTableText"/>
              <w:jc w:val="right"/>
              <w:rPr>
                <w:b/>
              </w:rPr>
            </w:pPr>
            <w:r w:rsidRPr="00731A90">
              <w:rPr>
                <w:b/>
              </w:rPr>
              <w:t xml:space="preserve"> 82,058 </w:t>
            </w:r>
          </w:p>
        </w:tc>
        <w:tc>
          <w:tcPr>
            <w:tcW w:w="1176" w:type="dxa"/>
          </w:tcPr>
          <w:p w:rsidR="00731A90" w:rsidRPr="00731A90" w:rsidRDefault="00731A90" w:rsidP="00731A90">
            <w:pPr>
              <w:pStyle w:val="FinancialsTableText"/>
              <w:jc w:val="right"/>
            </w:pPr>
            <w:r w:rsidRPr="00731A90">
              <w:t xml:space="preserve"> 84,752 </w:t>
            </w:r>
          </w:p>
        </w:tc>
      </w:tr>
      <w:tr w:rsidR="00731A90" w:rsidRPr="00731A90" w:rsidTr="00731A90">
        <w:trPr>
          <w:trHeight w:val="60"/>
        </w:trPr>
        <w:tc>
          <w:tcPr>
            <w:tcW w:w="7475" w:type="dxa"/>
          </w:tcPr>
          <w:p w:rsidR="00731A90" w:rsidRPr="00731A90" w:rsidRDefault="00731A90" w:rsidP="00731A90">
            <w:pPr>
              <w:pStyle w:val="FinancialsTableH2"/>
            </w:pPr>
            <w:r w:rsidRPr="00731A90">
              <w:t>Other long-term employee benefits</w:t>
            </w:r>
          </w:p>
        </w:tc>
        <w:tc>
          <w:tcPr>
            <w:tcW w:w="1232" w:type="dxa"/>
          </w:tcPr>
          <w:p w:rsidR="00731A90" w:rsidRPr="00731A90" w:rsidRDefault="00731A90" w:rsidP="00731A90">
            <w:pPr>
              <w:pStyle w:val="FinancialsTableText"/>
              <w:jc w:val="right"/>
              <w:rPr>
                <w:b/>
              </w:rPr>
            </w:pPr>
          </w:p>
        </w:tc>
        <w:tc>
          <w:tcPr>
            <w:tcW w:w="1176" w:type="dxa"/>
          </w:tcPr>
          <w:p w:rsidR="00731A90" w:rsidRPr="00731A90" w:rsidRDefault="00731A90" w:rsidP="00731A90">
            <w:pPr>
              <w:pStyle w:val="FinancialsTableText"/>
              <w:jc w:val="right"/>
            </w:pPr>
          </w:p>
        </w:tc>
      </w:tr>
      <w:tr w:rsidR="00731A90" w:rsidRPr="00731A90" w:rsidTr="00731A90">
        <w:trPr>
          <w:trHeight w:val="60"/>
        </w:trPr>
        <w:tc>
          <w:tcPr>
            <w:tcW w:w="7475" w:type="dxa"/>
          </w:tcPr>
          <w:p w:rsidR="00731A90" w:rsidRPr="00731A90" w:rsidRDefault="00731A90" w:rsidP="00731A90">
            <w:pPr>
              <w:pStyle w:val="FinancialsTableTextIndented"/>
            </w:pPr>
            <w:r w:rsidRPr="00731A90">
              <w:t>Annual leave</w:t>
            </w:r>
          </w:p>
        </w:tc>
        <w:tc>
          <w:tcPr>
            <w:tcW w:w="1232" w:type="dxa"/>
          </w:tcPr>
          <w:p w:rsidR="00731A90" w:rsidRPr="00731A90" w:rsidRDefault="00731A90" w:rsidP="00731A90">
            <w:pPr>
              <w:pStyle w:val="FinancialsTableText"/>
              <w:jc w:val="right"/>
              <w:rPr>
                <w:b/>
              </w:rPr>
            </w:pPr>
            <w:r w:rsidRPr="00731A90">
              <w:rPr>
                <w:b/>
              </w:rPr>
              <w:t xml:space="preserve"> 54,303 </w:t>
            </w:r>
          </w:p>
        </w:tc>
        <w:tc>
          <w:tcPr>
            <w:tcW w:w="1176" w:type="dxa"/>
          </w:tcPr>
          <w:p w:rsidR="00731A90" w:rsidRPr="00731A90" w:rsidRDefault="00731A90" w:rsidP="00731A90">
            <w:pPr>
              <w:pStyle w:val="FinancialsTableText"/>
              <w:jc w:val="right"/>
            </w:pPr>
            <w:r w:rsidRPr="00731A90">
              <w:t xml:space="preserve"> 34,369 </w:t>
            </w:r>
          </w:p>
        </w:tc>
      </w:tr>
      <w:tr w:rsidR="00731A90" w:rsidRPr="00731A90" w:rsidTr="00731A90">
        <w:trPr>
          <w:trHeight w:val="60"/>
        </w:trPr>
        <w:tc>
          <w:tcPr>
            <w:tcW w:w="7475" w:type="dxa"/>
          </w:tcPr>
          <w:p w:rsidR="00731A90" w:rsidRPr="00731A90" w:rsidRDefault="00731A90" w:rsidP="00731A90">
            <w:pPr>
              <w:pStyle w:val="FinancialsTableTextIndented"/>
            </w:pPr>
            <w:r w:rsidRPr="00731A90">
              <w:t>Long-service leave</w:t>
            </w:r>
          </w:p>
        </w:tc>
        <w:tc>
          <w:tcPr>
            <w:tcW w:w="1232" w:type="dxa"/>
          </w:tcPr>
          <w:p w:rsidR="00731A90" w:rsidRPr="00731A90" w:rsidRDefault="00731A90" w:rsidP="00731A90">
            <w:pPr>
              <w:pStyle w:val="FinancialsTableText"/>
              <w:jc w:val="right"/>
              <w:rPr>
                <w:b/>
              </w:rPr>
            </w:pPr>
            <w:r w:rsidRPr="00731A90">
              <w:rPr>
                <w:b/>
              </w:rPr>
              <w:t xml:space="preserve"> 18,503 </w:t>
            </w:r>
          </w:p>
        </w:tc>
        <w:tc>
          <w:tcPr>
            <w:tcW w:w="1176" w:type="dxa"/>
          </w:tcPr>
          <w:p w:rsidR="00731A90" w:rsidRPr="00731A90" w:rsidRDefault="00731A90" w:rsidP="00731A90">
            <w:pPr>
              <w:pStyle w:val="FinancialsTableText"/>
              <w:jc w:val="right"/>
            </w:pPr>
            <w:r w:rsidRPr="00731A90">
              <w:t xml:space="preserve"> 11,656 </w:t>
            </w:r>
          </w:p>
        </w:tc>
      </w:tr>
      <w:tr w:rsidR="00731A90" w:rsidRPr="00731A90" w:rsidTr="00731A90">
        <w:trPr>
          <w:trHeight w:val="60"/>
        </w:trPr>
        <w:tc>
          <w:tcPr>
            <w:tcW w:w="7475" w:type="dxa"/>
          </w:tcPr>
          <w:p w:rsidR="00731A90" w:rsidRPr="00731A90" w:rsidRDefault="00731A90" w:rsidP="00731A90">
            <w:pPr>
              <w:pStyle w:val="FinancialsTableText"/>
              <w:rPr>
                <w:b/>
              </w:rPr>
            </w:pPr>
            <w:r w:rsidRPr="00731A90">
              <w:rPr>
                <w:b/>
              </w:rPr>
              <w:t>Total other long-term employee benefits</w:t>
            </w:r>
          </w:p>
        </w:tc>
        <w:tc>
          <w:tcPr>
            <w:tcW w:w="1232" w:type="dxa"/>
          </w:tcPr>
          <w:p w:rsidR="00731A90" w:rsidRPr="00731A90" w:rsidRDefault="00731A90" w:rsidP="00731A90">
            <w:pPr>
              <w:pStyle w:val="FinancialsTableText"/>
              <w:jc w:val="right"/>
              <w:rPr>
                <w:b/>
              </w:rPr>
            </w:pPr>
            <w:r w:rsidRPr="00731A90">
              <w:rPr>
                <w:b/>
              </w:rPr>
              <w:t xml:space="preserve"> 72,806 </w:t>
            </w:r>
          </w:p>
        </w:tc>
        <w:tc>
          <w:tcPr>
            <w:tcW w:w="1176" w:type="dxa"/>
          </w:tcPr>
          <w:p w:rsidR="00731A90" w:rsidRPr="00731A90" w:rsidRDefault="00731A90" w:rsidP="00731A90">
            <w:pPr>
              <w:pStyle w:val="FinancialsTableText"/>
              <w:jc w:val="right"/>
            </w:pPr>
            <w:r w:rsidRPr="00731A90">
              <w:t xml:space="preserve"> 46,025 </w:t>
            </w:r>
          </w:p>
        </w:tc>
      </w:tr>
      <w:tr w:rsidR="00731A90" w:rsidRPr="00731A90" w:rsidTr="00731A90">
        <w:trPr>
          <w:trHeight w:val="60"/>
        </w:trPr>
        <w:tc>
          <w:tcPr>
            <w:tcW w:w="7475" w:type="dxa"/>
          </w:tcPr>
          <w:p w:rsidR="00731A90" w:rsidRPr="00731A90" w:rsidRDefault="00731A90" w:rsidP="00731A90">
            <w:pPr>
              <w:pStyle w:val="FinancialsTableText"/>
              <w:rPr>
                <w:b/>
              </w:rPr>
            </w:pPr>
            <w:r w:rsidRPr="00731A90">
              <w:rPr>
                <w:b/>
              </w:rPr>
              <w:t>Total senior executive remuneration expenses</w:t>
            </w:r>
          </w:p>
        </w:tc>
        <w:tc>
          <w:tcPr>
            <w:tcW w:w="1232" w:type="dxa"/>
          </w:tcPr>
          <w:p w:rsidR="00731A90" w:rsidRPr="00731A90" w:rsidRDefault="00731A90" w:rsidP="00731A90">
            <w:pPr>
              <w:pStyle w:val="FinancialsTableText"/>
              <w:jc w:val="right"/>
              <w:rPr>
                <w:b/>
              </w:rPr>
            </w:pPr>
            <w:r w:rsidRPr="00731A90">
              <w:rPr>
                <w:b/>
              </w:rPr>
              <w:t xml:space="preserve"> 744,147 </w:t>
            </w:r>
          </w:p>
        </w:tc>
        <w:tc>
          <w:tcPr>
            <w:tcW w:w="1176" w:type="dxa"/>
          </w:tcPr>
          <w:p w:rsidR="00731A90" w:rsidRPr="00731A90" w:rsidRDefault="00731A90" w:rsidP="00731A90">
            <w:pPr>
              <w:pStyle w:val="FinancialsTableText"/>
              <w:jc w:val="right"/>
            </w:pPr>
            <w:r w:rsidRPr="00731A90">
              <w:t xml:space="preserve"> 715,328 </w:t>
            </w:r>
          </w:p>
        </w:tc>
      </w:tr>
    </w:tbl>
    <w:p w:rsidR="00731A90" w:rsidRDefault="00731A90" w:rsidP="00731A90">
      <w:pPr>
        <w:pStyle w:val="SourceNotesText"/>
      </w:pPr>
      <w:r w:rsidRPr="00731A90">
        <w:rPr>
          <w:b/>
        </w:rPr>
        <w:t>Note</w:t>
      </w:r>
      <w:r>
        <w:br/>
        <w:t>There are two senior management personnel included in the above table (2014:2).</w:t>
      </w:r>
    </w:p>
    <w:p w:rsidR="00D1666F" w:rsidRDefault="00D1666F" w:rsidP="00D1666F">
      <w:pPr>
        <w:pStyle w:val="FinancialsH2"/>
      </w:pPr>
      <w:bookmarkStart w:id="36" w:name="_Toc433193216"/>
      <w:r w:rsidRPr="00D1666F">
        <w:t>Note 13: Financial instruments</w:t>
      </w:r>
      <w:bookmarkEnd w:id="36"/>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Financial instruments"/>
      </w:tblPr>
      <w:tblGrid>
        <w:gridCol w:w="5812"/>
        <w:gridCol w:w="992"/>
        <w:gridCol w:w="16"/>
        <w:gridCol w:w="1554"/>
        <w:gridCol w:w="1512"/>
      </w:tblGrid>
      <w:tr w:rsidR="00D1666F" w:rsidRPr="008B0470" w:rsidTr="00030705">
        <w:trPr>
          <w:cnfStyle w:val="100000000000" w:firstRow="1" w:lastRow="0" w:firstColumn="0" w:lastColumn="0" w:oddVBand="0" w:evenVBand="0" w:oddHBand="0" w:evenHBand="0" w:firstRowFirstColumn="0" w:firstRowLastColumn="0" w:lastRowFirstColumn="0" w:lastRowLastColumn="0"/>
          <w:trHeight w:val="60"/>
        </w:trPr>
        <w:tc>
          <w:tcPr>
            <w:tcW w:w="5812" w:type="dxa"/>
          </w:tcPr>
          <w:p w:rsidR="00D1666F" w:rsidRPr="005D1D13" w:rsidRDefault="00D1666F" w:rsidP="00A97341">
            <w:pPr>
              <w:pStyle w:val="FinancialsTableText"/>
              <w:rPr>
                <w:lang w:val="en-GB"/>
              </w:rPr>
            </w:pPr>
          </w:p>
        </w:tc>
        <w:tc>
          <w:tcPr>
            <w:tcW w:w="1008" w:type="dxa"/>
            <w:gridSpan w:val="2"/>
            <w:vAlign w:val="top"/>
          </w:tcPr>
          <w:p w:rsidR="00D1666F" w:rsidRPr="008B0470" w:rsidRDefault="00D1666F" w:rsidP="00030705">
            <w:pPr>
              <w:pStyle w:val="FinancialsTableText"/>
              <w:jc w:val="right"/>
            </w:pPr>
            <w:r w:rsidRPr="008B0470">
              <w:t>2015</w:t>
            </w:r>
            <w:r>
              <w:br/>
            </w:r>
            <w:r w:rsidRPr="005D1D13">
              <w:rPr>
                <w:b w:val="0"/>
              </w:rPr>
              <w:t>$’000</w:t>
            </w:r>
          </w:p>
        </w:tc>
        <w:tc>
          <w:tcPr>
            <w:tcW w:w="1554" w:type="dxa"/>
            <w:vAlign w:val="top"/>
          </w:tcPr>
          <w:p w:rsidR="00D1666F" w:rsidRPr="008B0470" w:rsidRDefault="00D1666F" w:rsidP="00030705">
            <w:pPr>
              <w:pStyle w:val="FinancialsTableText"/>
              <w:jc w:val="right"/>
            </w:pPr>
            <w:r w:rsidRPr="008B0470">
              <w:t>2014</w:t>
            </w:r>
            <w:r>
              <w:br/>
            </w:r>
            <w:r w:rsidRPr="005D1D13">
              <w:rPr>
                <w:b w:val="0"/>
              </w:rPr>
              <w:t>$’000</w:t>
            </w:r>
            <w:r w:rsidRPr="005D1D13">
              <w:rPr>
                <w:b w:val="0"/>
              </w:rPr>
              <w:br/>
              <w:t>Departmental</w:t>
            </w:r>
          </w:p>
        </w:tc>
        <w:tc>
          <w:tcPr>
            <w:tcW w:w="1512" w:type="dxa"/>
            <w:shd w:val="clear" w:color="auto" w:fill="E6E7E9"/>
            <w:vAlign w:val="top"/>
          </w:tcPr>
          <w:p w:rsidR="00D1666F" w:rsidRPr="008B0470" w:rsidRDefault="00D1666F" w:rsidP="00030705">
            <w:pPr>
              <w:pStyle w:val="FinancialsTableText"/>
              <w:jc w:val="right"/>
            </w:pPr>
            <w:r w:rsidRPr="008B0470">
              <w:t>2014</w:t>
            </w:r>
            <w:r>
              <w:br/>
            </w:r>
            <w:r w:rsidRPr="005D1D13">
              <w:rPr>
                <w:b w:val="0"/>
              </w:rPr>
              <w:t>$’000</w:t>
            </w:r>
            <w:r w:rsidRPr="005D1D13">
              <w:rPr>
                <w:b w:val="0"/>
              </w:rPr>
              <w:br/>
              <w:t>Administered</w:t>
            </w:r>
          </w:p>
        </w:tc>
      </w:tr>
      <w:tr w:rsidR="00D1666F" w:rsidRPr="00D1666F" w:rsidTr="006478CB">
        <w:trPr>
          <w:trHeight w:val="60"/>
        </w:trPr>
        <w:tc>
          <w:tcPr>
            <w:tcW w:w="8374" w:type="dxa"/>
            <w:gridSpan w:val="4"/>
          </w:tcPr>
          <w:p w:rsidR="00D1666F" w:rsidRPr="00D1666F" w:rsidRDefault="00D1666F" w:rsidP="00D1666F">
            <w:pPr>
              <w:pStyle w:val="FinancialsTableH1"/>
            </w:pPr>
            <w:r w:rsidRPr="00D1666F">
              <w:t>NOTE 13A: Categories of financial instruments</w:t>
            </w:r>
          </w:p>
        </w:tc>
        <w:tc>
          <w:tcPr>
            <w:tcW w:w="1512" w:type="dxa"/>
            <w:shd w:val="clear" w:color="auto" w:fill="E6E7E9"/>
          </w:tcPr>
          <w:p w:rsidR="00D1666F" w:rsidRPr="00D1666F" w:rsidRDefault="00D1666F" w:rsidP="00D1666F">
            <w:pPr>
              <w:pStyle w:val="FinancialsTableText"/>
              <w:jc w:val="right"/>
            </w:pPr>
          </w:p>
        </w:tc>
      </w:tr>
      <w:tr w:rsidR="00D1666F" w:rsidRPr="00D1666F" w:rsidTr="006478CB">
        <w:trPr>
          <w:trHeight w:val="60"/>
        </w:trPr>
        <w:tc>
          <w:tcPr>
            <w:tcW w:w="8374" w:type="dxa"/>
            <w:gridSpan w:val="4"/>
          </w:tcPr>
          <w:p w:rsidR="00D1666F" w:rsidRPr="00D1666F" w:rsidRDefault="00D1666F" w:rsidP="00D1666F">
            <w:pPr>
              <w:pStyle w:val="FinancialsTableH2"/>
              <w:rPr>
                <w:lang w:val="en-GB"/>
              </w:rPr>
            </w:pPr>
            <w:r w:rsidRPr="00D1666F">
              <w:rPr>
                <w:lang w:val="en-GB"/>
              </w:rPr>
              <w:t>Financial assets</w:t>
            </w:r>
          </w:p>
        </w:tc>
        <w:tc>
          <w:tcPr>
            <w:tcW w:w="1512" w:type="dxa"/>
            <w:shd w:val="clear" w:color="auto" w:fill="E6E7E9"/>
          </w:tcPr>
          <w:p w:rsidR="00D1666F" w:rsidRPr="00D1666F" w:rsidRDefault="00D1666F" w:rsidP="00D1666F">
            <w:pPr>
              <w:pStyle w:val="FinancialsTableText"/>
              <w:jc w:val="right"/>
            </w:pPr>
          </w:p>
        </w:tc>
      </w:tr>
      <w:tr w:rsidR="00D1666F" w:rsidRPr="00D1666F" w:rsidTr="006478CB">
        <w:trPr>
          <w:trHeight w:val="60"/>
        </w:trPr>
        <w:tc>
          <w:tcPr>
            <w:tcW w:w="8374" w:type="dxa"/>
            <w:gridSpan w:val="4"/>
          </w:tcPr>
          <w:p w:rsidR="00D1666F" w:rsidRPr="00D1666F" w:rsidRDefault="00D1666F" w:rsidP="00D1666F">
            <w:pPr>
              <w:pStyle w:val="FinancialsTableText"/>
              <w:rPr>
                <w:lang w:val="en-GB"/>
              </w:rPr>
            </w:pPr>
            <w:r w:rsidRPr="00D1666F">
              <w:rPr>
                <w:lang w:val="en-GB"/>
              </w:rPr>
              <w:t>Loans and receivables</w:t>
            </w:r>
          </w:p>
        </w:tc>
        <w:tc>
          <w:tcPr>
            <w:tcW w:w="1512" w:type="dxa"/>
            <w:shd w:val="clear" w:color="auto" w:fill="E6E7E9"/>
          </w:tcPr>
          <w:p w:rsidR="00D1666F" w:rsidRPr="00D1666F" w:rsidRDefault="00D1666F" w:rsidP="00D1666F">
            <w:pPr>
              <w:pStyle w:val="FinancialsTableText"/>
              <w:jc w:val="right"/>
            </w:pP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Cash and cash equivalents</w:t>
            </w:r>
          </w:p>
        </w:tc>
        <w:tc>
          <w:tcPr>
            <w:tcW w:w="992" w:type="dxa"/>
          </w:tcPr>
          <w:p w:rsidR="00D1666F" w:rsidRPr="00D1666F" w:rsidRDefault="00D1666F" w:rsidP="00D1666F">
            <w:pPr>
              <w:pStyle w:val="FinancialsTableText"/>
              <w:jc w:val="right"/>
              <w:rPr>
                <w:b/>
                <w:lang w:val="en-GB"/>
              </w:rPr>
            </w:pPr>
            <w:r w:rsidRPr="00D1666F">
              <w:rPr>
                <w:b/>
                <w:lang w:val="en-GB"/>
              </w:rPr>
              <w:t xml:space="preserve"> 4,743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313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 </w:t>
            </w: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 xml:space="preserve">Receivable from the Department of Health </w:t>
            </w:r>
          </w:p>
        </w:tc>
        <w:tc>
          <w:tcPr>
            <w:tcW w:w="992" w:type="dxa"/>
          </w:tcPr>
          <w:p w:rsidR="00D1666F" w:rsidRPr="00D1666F" w:rsidRDefault="00D1666F" w:rsidP="00D1666F">
            <w:pPr>
              <w:pStyle w:val="FinancialsTableText"/>
              <w:jc w:val="right"/>
              <w:rPr>
                <w:b/>
                <w:lang w:val="en-GB"/>
              </w:rPr>
            </w:pPr>
            <w:r w:rsidRPr="00D1666F">
              <w:rPr>
                <w:b/>
                <w:lang w:val="en-GB"/>
              </w:rPr>
              <w:t xml:space="preserve"> 380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52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 </w:t>
            </w: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 xml:space="preserve">Receivable from other Federal Government agencies </w:t>
            </w:r>
          </w:p>
        </w:tc>
        <w:tc>
          <w:tcPr>
            <w:tcW w:w="992" w:type="dxa"/>
          </w:tcPr>
          <w:p w:rsidR="00D1666F" w:rsidRPr="00D1666F" w:rsidRDefault="00D1666F" w:rsidP="00D1666F">
            <w:pPr>
              <w:pStyle w:val="FinancialsTableText"/>
              <w:jc w:val="right"/>
              <w:rPr>
                <w:b/>
                <w:lang w:val="en-GB"/>
              </w:rPr>
            </w:pPr>
            <w:r w:rsidRPr="00D1666F">
              <w:rPr>
                <w:b/>
                <w:lang w:val="en-GB"/>
              </w:rPr>
              <w:t xml:space="preserve"> 168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3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 </w:t>
            </w: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Trade and other receivables</w:t>
            </w:r>
          </w:p>
        </w:tc>
        <w:tc>
          <w:tcPr>
            <w:tcW w:w="992" w:type="dxa"/>
          </w:tcPr>
          <w:p w:rsidR="00D1666F" w:rsidRPr="00D1666F" w:rsidRDefault="00D1666F" w:rsidP="00D1666F">
            <w:pPr>
              <w:pStyle w:val="FinancialsTableText"/>
              <w:jc w:val="right"/>
              <w:rPr>
                <w:b/>
                <w:lang w:val="en-GB"/>
              </w:rPr>
            </w:pPr>
            <w:r w:rsidRPr="00D1666F">
              <w:rPr>
                <w:b/>
                <w:lang w:val="en-GB"/>
              </w:rPr>
              <w:t xml:space="preserve"> 590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72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28 </w:t>
            </w:r>
          </w:p>
        </w:tc>
      </w:tr>
      <w:tr w:rsidR="00D1666F" w:rsidRPr="00D1666F" w:rsidTr="006478CB">
        <w:trPr>
          <w:trHeight w:val="60"/>
        </w:trPr>
        <w:tc>
          <w:tcPr>
            <w:tcW w:w="5812" w:type="dxa"/>
          </w:tcPr>
          <w:p w:rsidR="00D1666F" w:rsidRPr="00D1666F" w:rsidRDefault="00D1666F" w:rsidP="00D1666F">
            <w:pPr>
              <w:pStyle w:val="FinancialsTableText"/>
              <w:rPr>
                <w:b/>
                <w:lang w:val="en-GB"/>
              </w:rPr>
            </w:pPr>
            <w:r w:rsidRPr="00D1666F">
              <w:rPr>
                <w:b/>
                <w:lang w:val="en-GB"/>
              </w:rPr>
              <w:t>Total financial assets</w:t>
            </w:r>
          </w:p>
        </w:tc>
        <w:tc>
          <w:tcPr>
            <w:tcW w:w="992" w:type="dxa"/>
          </w:tcPr>
          <w:p w:rsidR="00D1666F" w:rsidRPr="00D1666F" w:rsidRDefault="00D1666F" w:rsidP="00D1666F">
            <w:pPr>
              <w:pStyle w:val="FinancialsTableText"/>
              <w:jc w:val="right"/>
              <w:rPr>
                <w:b/>
                <w:lang w:val="en-GB"/>
              </w:rPr>
            </w:pPr>
            <w:r w:rsidRPr="00D1666F">
              <w:rPr>
                <w:b/>
                <w:lang w:val="en-GB"/>
              </w:rPr>
              <w:t xml:space="preserve"> 5,881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440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28 </w:t>
            </w:r>
          </w:p>
        </w:tc>
      </w:tr>
      <w:tr w:rsidR="00D1666F" w:rsidRPr="00D1666F" w:rsidTr="006478CB">
        <w:trPr>
          <w:trHeight w:val="60"/>
        </w:trPr>
        <w:tc>
          <w:tcPr>
            <w:tcW w:w="8374" w:type="dxa"/>
            <w:gridSpan w:val="4"/>
          </w:tcPr>
          <w:p w:rsidR="00D1666F" w:rsidRPr="00D1666F" w:rsidRDefault="00D1666F" w:rsidP="00D1666F">
            <w:pPr>
              <w:pStyle w:val="FinancialsTableH2"/>
              <w:rPr>
                <w:lang w:val="en-GB"/>
              </w:rPr>
            </w:pPr>
            <w:r w:rsidRPr="00D1666F">
              <w:rPr>
                <w:lang w:val="en-GB"/>
              </w:rPr>
              <w:t>Financial liabilities</w:t>
            </w:r>
          </w:p>
        </w:tc>
        <w:tc>
          <w:tcPr>
            <w:tcW w:w="1512" w:type="dxa"/>
            <w:shd w:val="clear" w:color="auto" w:fill="E6E7E9"/>
          </w:tcPr>
          <w:p w:rsidR="00D1666F" w:rsidRPr="00D1666F" w:rsidRDefault="00D1666F" w:rsidP="00D1666F">
            <w:pPr>
              <w:pStyle w:val="FinancialsTableText"/>
              <w:jc w:val="right"/>
            </w:pPr>
          </w:p>
        </w:tc>
      </w:tr>
      <w:tr w:rsidR="00D1666F" w:rsidRPr="00D1666F" w:rsidTr="006478CB">
        <w:trPr>
          <w:trHeight w:val="60"/>
        </w:trPr>
        <w:tc>
          <w:tcPr>
            <w:tcW w:w="5812" w:type="dxa"/>
          </w:tcPr>
          <w:p w:rsidR="00D1666F" w:rsidRPr="00D1666F" w:rsidRDefault="00D1666F" w:rsidP="00D1666F">
            <w:pPr>
              <w:pStyle w:val="FinancialsTableText"/>
              <w:rPr>
                <w:lang w:val="en-GB"/>
              </w:rPr>
            </w:pPr>
            <w:r w:rsidRPr="00D1666F">
              <w:rPr>
                <w:lang w:val="en-GB"/>
              </w:rPr>
              <w:t>Financial liabilities measured at amortised cost</w:t>
            </w:r>
          </w:p>
        </w:tc>
        <w:tc>
          <w:tcPr>
            <w:tcW w:w="992" w:type="dxa"/>
          </w:tcPr>
          <w:p w:rsidR="00D1666F" w:rsidRPr="00D1666F" w:rsidRDefault="00D1666F" w:rsidP="00D1666F">
            <w:pPr>
              <w:pStyle w:val="FinancialsTableText"/>
              <w:jc w:val="right"/>
              <w:rPr>
                <w:b/>
              </w:rPr>
            </w:pPr>
          </w:p>
        </w:tc>
        <w:tc>
          <w:tcPr>
            <w:tcW w:w="1570" w:type="dxa"/>
            <w:gridSpan w:val="2"/>
          </w:tcPr>
          <w:p w:rsidR="00D1666F" w:rsidRPr="00D1666F" w:rsidRDefault="00D1666F" w:rsidP="00D1666F">
            <w:pPr>
              <w:pStyle w:val="FinancialsTableText"/>
              <w:jc w:val="right"/>
            </w:pPr>
          </w:p>
        </w:tc>
        <w:tc>
          <w:tcPr>
            <w:tcW w:w="1512" w:type="dxa"/>
            <w:shd w:val="clear" w:color="auto" w:fill="E6E7E9"/>
          </w:tcPr>
          <w:p w:rsidR="00D1666F" w:rsidRPr="00D1666F" w:rsidRDefault="00D1666F" w:rsidP="00D1666F">
            <w:pPr>
              <w:pStyle w:val="FinancialsTableText"/>
              <w:jc w:val="right"/>
            </w:pP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Trade creditors and accruals</w:t>
            </w:r>
          </w:p>
        </w:tc>
        <w:tc>
          <w:tcPr>
            <w:tcW w:w="992" w:type="dxa"/>
          </w:tcPr>
          <w:p w:rsidR="00D1666F" w:rsidRPr="00D1666F" w:rsidRDefault="00D1666F" w:rsidP="00D1666F">
            <w:pPr>
              <w:pStyle w:val="FinancialsTableText"/>
              <w:jc w:val="right"/>
              <w:rPr>
                <w:b/>
                <w:lang w:val="en-GB"/>
              </w:rPr>
            </w:pPr>
            <w:r w:rsidRPr="00D1666F">
              <w:rPr>
                <w:b/>
                <w:lang w:val="en-GB"/>
              </w:rPr>
              <w:t xml:space="preserve"> 3,892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375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2,152 </w:t>
            </w: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 xml:space="preserve">Payable to the Department of Health </w:t>
            </w:r>
          </w:p>
        </w:tc>
        <w:tc>
          <w:tcPr>
            <w:tcW w:w="992" w:type="dxa"/>
          </w:tcPr>
          <w:p w:rsidR="00D1666F" w:rsidRPr="00D1666F" w:rsidRDefault="00D1666F" w:rsidP="00D1666F">
            <w:pPr>
              <w:pStyle w:val="FinancialsTableText"/>
              <w:jc w:val="right"/>
              <w:rPr>
                <w:b/>
                <w:lang w:val="en-GB"/>
              </w:rPr>
            </w:pPr>
            <w:r w:rsidRPr="00D1666F">
              <w:rPr>
                <w:b/>
                <w:lang w:val="en-GB"/>
              </w:rPr>
              <w:t xml:space="preserve"> 119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98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 </w:t>
            </w:r>
          </w:p>
        </w:tc>
      </w:tr>
      <w:tr w:rsidR="00D1666F" w:rsidRPr="00D1666F" w:rsidTr="006478CB">
        <w:trPr>
          <w:trHeight w:val="60"/>
        </w:trPr>
        <w:tc>
          <w:tcPr>
            <w:tcW w:w="5812" w:type="dxa"/>
          </w:tcPr>
          <w:p w:rsidR="00D1666F" w:rsidRPr="00D1666F" w:rsidRDefault="00D1666F" w:rsidP="00D1666F">
            <w:pPr>
              <w:pStyle w:val="FinancialsTableTextIndented"/>
              <w:rPr>
                <w:lang w:val="en-GB"/>
              </w:rPr>
            </w:pPr>
            <w:r w:rsidRPr="00D1666F">
              <w:rPr>
                <w:lang w:val="en-GB"/>
              </w:rPr>
              <w:t>Other payables – credit card</w:t>
            </w:r>
          </w:p>
        </w:tc>
        <w:tc>
          <w:tcPr>
            <w:tcW w:w="992" w:type="dxa"/>
          </w:tcPr>
          <w:p w:rsidR="00D1666F" w:rsidRPr="00D1666F" w:rsidRDefault="00D1666F" w:rsidP="00D1666F">
            <w:pPr>
              <w:pStyle w:val="FinancialsTableText"/>
              <w:jc w:val="right"/>
              <w:rPr>
                <w:b/>
                <w:lang w:val="en-GB"/>
              </w:rPr>
            </w:pPr>
            <w:r w:rsidRPr="00D1666F">
              <w:rPr>
                <w:b/>
                <w:lang w:val="en-GB"/>
              </w:rPr>
              <w:t xml:space="preserve"> 16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7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 </w:t>
            </w:r>
          </w:p>
        </w:tc>
      </w:tr>
      <w:tr w:rsidR="00D1666F" w:rsidRPr="00D1666F" w:rsidTr="006478CB">
        <w:trPr>
          <w:trHeight w:val="60"/>
        </w:trPr>
        <w:tc>
          <w:tcPr>
            <w:tcW w:w="5812" w:type="dxa"/>
          </w:tcPr>
          <w:p w:rsidR="00D1666F" w:rsidRPr="00D1666F" w:rsidRDefault="00D1666F" w:rsidP="00D1666F">
            <w:pPr>
              <w:pStyle w:val="FinancialsTableText"/>
              <w:rPr>
                <w:b/>
                <w:lang w:val="en-GB"/>
              </w:rPr>
            </w:pPr>
            <w:r w:rsidRPr="00D1666F">
              <w:rPr>
                <w:b/>
                <w:lang w:val="en-GB"/>
              </w:rPr>
              <w:t>Total financial liabilities</w:t>
            </w:r>
          </w:p>
        </w:tc>
        <w:tc>
          <w:tcPr>
            <w:tcW w:w="992" w:type="dxa"/>
          </w:tcPr>
          <w:p w:rsidR="00D1666F" w:rsidRPr="00D1666F" w:rsidRDefault="00D1666F" w:rsidP="00D1666F">
            <w:pPr>
              <w:pStyle w:val="FinancialsTableText"/>
              <w:jc w:val="right"/>
              <w:rPr>
                <w:b/>
                <w:lang w:val="en-GB"/>
              </w:rPr>
            </w:pPr>
            <w:r w:rsidRPr="00D1666F">
              <w:rPr>
                <w:b/>
                <w:lang w:val="en-GB"/>
              </w:rPr>
              <w:t xml:space="preserve"> 4,027 </w:t>
            </w:r>
          </w:p>
        </w:tc>
        <w:tc>
          <w:tcPr>
            <w:tcW w:w="1570" w:type="dxa"/>
            <w:gridSpan w:val="2"/>
          </w:tcPr>
          <w:p w:rsidR="00D1666F" w:rsidRPr="00D1666F" w:rsidRDefault="00D1666F" w:rsidP="00D1666F">
            <w:pPr>
              <w:pStyle w:val="FinancialsTableText"/>
              <w:jc w:val="right"/>
              <w:rPr>
                <w:lang w:val="en-GB"/>
              </w:rPr>
            </w:pPr>
            <w:r w:rsidRPr="00D1666F">
              <w:rPr>
                <w:lang w:val="en-GB"/>
              </w:rPr>
              <w:t xml:space="preserve"> 480 </w:t>
            </w:r>
          </w:p>
        </w:tc>
        <w:tc>
          <w:tcPr>
            <w:tcW w:w="1512" w:type="dxa"/>
            <w:shd w:val="clear" w:color="auto" w:fill="E6E7E9"/>
          </w:tcPr>
          <w:p w:rsidR="00D1666F" w:rsidRPr="00D1666F" w:rsidRDefault="00D1666F" w:rsidP="00D1666F">
            <w:pPr>
              <w:pStyle w:val="FinancialsTableText"/>
              <w:jc w:val="right"/>
              <w:rPr>
                <w:lang w:val="en-GB"/>
              </w:rPr>
            </w:pPr>
            <w:r w:rsidRPr="00D1666F">
              <w:rPr>
                <w:lang w:val="en-GB"/>
              </w:rPr>
              <w:t xml:space="preserve"> 2,152 </w:t>
            </w:r>
          </w:p>
        </w:tc>
      </w:tr>
    </w:tbl>
    <w:p w:rsidR="006478CB" w:rsidRDefault="006478CB" w:rsidP="006478CB">
      <w:pPr>
        <w:pStyle w:val="FinancialsTableH1"/>
        <w:spacing w:before="360"/>
      </w:pPr>
      <w:r>
        <w:t>Note 13B: Fair value of financial instruments</w:t>
      </w:r>
    </w:p>
    <w:p w:rsidR="006478CB" w:rsidRDefault="006478CB" w:rsidP="006478CB">
      <w:pPr>
        <w:pStyle w:val="FinancialsTableH2"/>
      </w:pPr>
      <w:r>
        <w:t>Financial assets</w:t>
      </w:r>
    </w:p>
    <w:p w:rsidR="006478CB" w:rsidRDefault="006478CB" w:rsidP="006478CB">
      <w:r>
        <w:t>The fair values of all monetary financial assets approximate their carrying amounts.</w:t>
      </w:r>
    </w:p>
    <w:p w:rsidR="006478CB" w:rsidRDefault="006478CB" w:rsidP="006478CB">
      <w:pPr>
        <w:pStyle w:val="FinancialsTableH2"/>
      </w:pPr>
      <w:r>
        <w:t>Financial liabilities</w:t>
      </w:r>
    </w:p>
    <w:p w:rsidR="00D1666F" w:rsidRDefault="006478CB" w:rsidP="006478CB">
      <w:r>
        <w:t>The fair values of all monetary financial liabilities approximate their carrying amounts. All financial liabilities are current, therefore a maturity analysis is not required.</w:t>
      </w:r>
    </w:p>
    <w:p w:rsidR="00A97341" w:rsidRDefault="00A97341" w:rsidP="006478CB">
      <w:r>
        <w:br w:type="page"/>
      </w:r>
    </w:p>
    <w:p w:rsidR="00A97341" w:rsidRDefault="00A97341" w:rsidP="00A97341">
      <w:pPr>
        <w:pStyle w:val="FinancialsTableH1"/>
      </w:pPr>
      <w:r>
        <w:t>Note 13C: Credit risk</w:t>
      </w:r>
    </w:p>
    <w:p w:rsidR="006478CB" w:rsidRDefault="00A97341" w:rsidP="00A97341">
      <w:r>
        <w:t>IHPA was exposed to minimal credit risk as financial assets cash and trade and other receivables. The maximum exposure to credit risk was the risk that arises from potential default of a debtor. This amount was equal to the total amount of trade and other receivables (2015: $1,687,184 and 2014: $177,593). At 30 June 2015 IHPA had no significant exposures to any concentrations of credit risk.</w:t>
      </w:r>
    </w:p>
    <w:p w:rsidR="00A97341" w:rsidRPr="00030705" w:rsidRDefault="00A97341" w:rsidP="00030705">
      <w:pPr>
        <w:pStyle w:val="FinancialsTableH2"/>
        <w:spacing w:after="120"/>
      </w:pPr>
      <w:r w:rsidRPr="00030705">
        <w:t>Credit quality of financial assets not past due or individually determined as impaired</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Credit quality of financial assets not past due or individually determined as impaired"/>
      </w:tblPr>
      <w:tblGrid>
        <w:gridCol w:w="1848"/>
        <w:gridCol w:w="1120"/>
        <w:gridCol w:w="1442"/>
        <w:gridCol w:w="1455"/>
        <w:gridCol w:w="1134"/>
        <w:gridCol w:w="1442"/>
        <w:gridCol w:w="1442"/>
      </w:tblGrid>
      <w:tr w:rsidR="00A97341" w:rsidRPr="00A97341" w:rsidTr="007B764C">
        <w:trPr>
          <w:cnfStyle w:val="100000000000" w:firstRow="1" w:lastRow="0" w:firstColumn="0" w:lastColumn="0" w:oddVBand="0" w:evenVBand="0" w:oddHBand="0" w:evenHBand="0" w:firstRowFirstColumn="0" w:firstRowLastColumn="0" w:lastRowFirstColumn="0" w:lastRowLastColumn="0"/>
          <w:trHeight w:val="60"/>
        </w:trPr>
        <w:tc>
          <w:tcPr>
            <w:tcW w:w="1848" w:type="dxa"/>
          </w:tcPr>
          <w:p w:rsidR="00A97341" w:rsidRPr="00A97341" w:rsidRDefault="00A97341" w:rsidP="00A97341">
            <w:pPr>
              <w:pStyle w:val="FinancialsTableText"/>
            </w:pPr>
          </w:p>
        </w:tc>
        <w:tc>
          <w:tcPr>
            <w:tcW w:w="1120" w:type="dxa"/>
          </w:tcPr>
          <w:p w:rsidR="00A97341" w:rsidRDefault="00A97341" w:rsidP="00A97341">
            <w:pPr>
              <w:pStyle w:val="FinancialsTableText"/>
              <w:jc w:val="right"/>
            </w:pPr>
            <w:r w:rsidRPr="00A97341">
              <w:t>Not past due nor impaired</w:t>
            </w:r>
            <w:r w:rsidR="007B764C">
              <w:br/>
            </w:r>
          </w:p>
          <w:p w:rsidR="007B764C" w:rsidRPr="00A97341" w:rsidRDefault="007B764C" w:rsidP="007B764C">
            <w:pPr>
              <w:pStyle w:val="FinancialsTableText"/>
              <w:jc w:val="right"/>
            </w:pPr>
            <w:r>
              <w:t>2015</w:t>
            </w:r>
            <w:r>
              <w:br/>
            </w:r>
            <w:r w:rsidR="00A97341" w:rsidRPr="007B764C">
              <w:rPr>
                <w:b w:val="0"/>
              </w:rPr>
              <w:t>$’000</w:t>
            </w:r>
          </w:p>
        </w:tc>
        <w:tc>
          <w:tcPr>
            <w:tcW w:w="1442" w:type="dxa"/>
          </w:tcPr>
          <w:p w:rsidR="00A97341" w:rsidRDefault="00A97341" w:rsidP="00A97341">
            <w:pPr>
              <w:pStyle w:val="FinancialsTableText"/>
              <w:jc w:val="right"/>
            </w:pPr>
            <w:r w:rsidRPr="00A97341">
              <w:t xml:space="preserve">Not past </w:t>
            </w:r>
            <w:r w:rsidR="007B764C">
              <w:br/>
            </w:r>
            <w:r w:rsidRPr="00A97341">
              <w:t>due nor impaired</w:t>
            </w:r>
          </w:p>
          <w:p w:rsidR="007B764C" w:rsidRPr="00A97341" w:rsidRDefault="007B764C" w:rsidP="00A97341">
            <w:pPr>
              <w:pStyle w:val="FinancialsTableText"/>
              <w:jc w:val="right"/>
            </w:pPr>
            <w:r w:rsidRPr="008B0470">
              <w:t>2014</w:t>
            </w:r>
            <w:r>
              <w:br/>
            </w:r>
            <w:r w:rsidRPr="005D1D13">
              <w:rPr>
                <w:b w:val="0"/>
              </w:rPr>
              <w:t>$’000</w:t>
            </w:r>
            <w:r w:rsidRPr="005D1D13">
              <w:rPr>
                <w:b w:val="0"/>
              </w:rPr>
              <w:br/>
            </w:r>
            <w:r>
              <w:rPr>
                <w:b w:val="0"/>
              </w:rPr>
              <w:t>Departmental</w:t>
            </w:r>
          </w:p>
        </w:tc>
        <w:tc>
          <w:tcPr>
            <w:tcW w:w="1455" w:type="dxa"/>
          </w:tcPr>
          <w:p w:rsidR="00A97341" w:rsidRDefault="00A97341" w:rsidP="00A97341">
            <w:pPr>
              <w:pStyle w:val="FinancialsTableText"/>
              <w:jc w:val="right"/>
            </w:pPr>
            <w:r w:rsidRPr="00A97341">
              <w:t xml:space="preserve">Not past </w:t>
            </w:r>
            <w:r w:rsidR="007B764C">
              <w:br/>
            </w:r>
            <w:r w:rsidRPr="00A97341">
              <w:t>due nor impaired</w:t>
            </w:r>
          </w:p>
          <w:p w:rsidR="007B764C" w:rsidRPr="00A97341" w:rsidRDefault="007B764C" w:rsidP="00A97341">
            <w:pPr>
              <w:pStyle w:val="FinancialsTableText"/>
              <w:jc w:val="right"/>
            </w:pPr>
            <w:r>
              <w:t>2014</w:t>
            </w:r>
            <w:r>
              <w:br/>
            </w:r>
            <w:r w:rsidRPr="00A97341">
              <w:rPr>
                <w:b w:val="0"/>
              </w:rPr>
              <w:t>$’000</w:t>
            </w:r>
            <w:r w:rsidRPr="00A97341">
              <w:rPr>
                <w:b w:val="0"/>
              </w:rPr>
              <w:br/>
              <w:t>Administered</w:t>
            </w:r>
          </w:p>
        </w:tc>
        <w:tc>
          <w:tcPr>
            <w:tcW w:w="1134" w:type="dxa"/>
          </w:tcPr>
          <w:p w:rsidR="00A97341" w:rsidRDefault="00A97341" w:rsidP="00A97341">
            <w:pPr>
              <w:pStyle w:val="FinancialsTableText"/>
              <w:jc w:val="right"/>
            </w:pPr>
            <w:r w:rsidRPr="00A97341">
              <w:t xml:space="preserve">Past </w:t>
            </w:r>
            <w:r w:rsidR="007B764C">
              <w:br/>
            </w:r>
            <w:r w:rsidRPr="00A97341">
              <w:t>due or impaired</w:t>
            </w:r>
            <w:r w:rsidR="007B764C">
              <w:br/>
            </w:r>
          </w:p>
          <w:p w:rsidR="00A97341" w:rsidRPr="00A97341" w:rsidRDefault="00A97341" w:rsidP="00A97341">
            <w:pPr>
              <w:pStyle w:val="FinancialsTableText"/>
              <w:jc w:val="right"/>
            </w:pPr>
            <w:r w:rsidRPr="008B0470">
              <w:t>2015</w:t>
            </w:r>
            <w:r>
              <w:br/>
            </w:r>
            <w:r w:rsidRPr="005D1D13">
              <w:rPr>
                <w:b w:val="0"/>
              </w:rPr>
              <w:t>$’000</w:t>
            </w:r>
          </w:p>
        </w:tc>
        <w:tc>
          <w:tcPr>
            <w:tcW w:w="1442" w:type="dxa"/>
          </w:tcPr>
          <w:p w:rsidR="00A97341" w:rsidRDefault="00A97341" w:rsidP="00A97341">
            <w:pPr>
              <w:pStyle w:val="FinancialsTableText"/>
              <w:jc w:val="right"/>
            </w:pPr>
            <w:r w:rsidRPr="00A97341">
              <w:t xml:space="preserve">Past </w:t>
            </w:r>
            <w:r w:rsidR="007B764C">
              <w:br/>
            </w:r>
            <w:r w:rsidRPr="00A97341">
              <w:t>due or impaired</w:t>
            </w:r>
          </w:p>
          <w:p w:rsidR="00A97341" w:rsidRPr="00A97341" w:rsidRDefault="00A97341" w:rsidP="00A97341">
            <w:pPr>
              <w:pStyle w:val="FinancialsTableText"/>
              <w:jc w:val="right"/>
            </w:pPr>
            <w:r w:rsidRPr="008B0470">
              <w:t>2014</w:t>
            </w:r>
            <w:r>
              <w:br/>
            </w:r>
            <w:r w:rsidRPr="005D1D13">
              <w:rPr>
                <w:b w:val="0"/>
              </w:rPr>
              <w:t>$’000</w:t>
            </w:r>
            <w:r w:rsidRPr="005D1D13">
              <w:rPr>
                <w:b w:val="0"/>
              </w:rPr>
              <w:br/>
            </w:r>
            <w:r>
              <w:rPr>
                <w:b w:val="0"/>
              </w:rPr>
              <w:t>Departmental</w:t>
            </w:r>
          </w:p>
        </w:tc>
        <w:tc>
          <w:tcPr>
            <w:tcW w:w="1442" w:type="dxa"/>
          </w:tcPr>
          <w:p w:rsidR="00A97341" w:rsidRDefault="00A97341" w:rsidP="00A97341">
            <w:pPr>
              <w:pStyle w:val="FinancialsTableText"/>
              <w:jc w:val="right"/>
            </w:pPr>
            <w:r w:rsidRPr="00A97341">
              <w:t xml:space="preserve">Past </w:t>
            </w:r>
            <w:r w:rsidR="007B764C">
              <w:br/>
            </w:r>
            <w:r w:rsidRPr="00A97341">
              <w:t>due or impaired</w:t>
            </w:r>
          </w:p>
          <w:p w:rsidR="00A97341" w:rsidRPr="00A97341" w:rsidRDefault="00A97341" w:rsidP="00A97341">
            <w:pPr>
              <w:pStyle w:val="FinancialsTableText"/>
              <w:jc w:val="right"/>
            </w:pPr>
            <w:r>
              <w:t>2014</w:t>
            </w:r>
            <w:r>
              <w:br/>
            </w:r>
            <w:r w:rsidRPr="00A97341">
              <w:rPr>
                <w:b w:val="0"/>
              </w:rPr>
              <w:t>$’000</w:t>
            </w:r>
            <w:r w:rsidRPr="00A97341">
              <w:rPr>
                <w:b w:val="0"/>
              </w:rPr>
              <w:br/>
              <w:t>Administered</w:t>
            </w:r>
          </w:p>
        </w:tc>
      </w:tr>
      <w:tr w:rsidR="00A97341" w:rsidRPr="00A97341" w:rsidTr="007B764C">
        <w:trPr>
          <w:trHeight w:val="60"/>
        </w:trPr>
        <w:tc>
          <w:tcPr>
            <w:tcW w:w="1848" w:type="dxa"/>
          </w:tcPr>
          <w:p w:rsidR="00A97341" w:rsidRPr="00A97341" w:rsidRDefault="00A97341" w:rsidP="00A97341">
            <w:pPr>
              <w:pStyle w:val="FinancialsTableText"/>
            </w:pPr>
            <w:r w:rsidRPr="00A97341">
              <w:t>Cash</w:t>
            </w:r>
          </w:p>
        </w:tc>
        <w:tc>
          <w:tcPr>
            <w:tcW w:w="1120" w:type="dxa"/>
          </w:tcPr>
          <w:p w:rsidR="00A97341" w:rsidRPr="007B764C" w:rsidRDefault="00A97341" w:rsidP="00A97341">
            <w:pPr>
              <w:pStyle w:val="FinancialsTableText"/>
              <w:jc w:val="right"/>
              <w:rPr>
                <w:b/>
              </w:rPr>
            </w:pPr>
            <w:r w:rsidRPr="007B764C">
              <w:rPr>
                <w:b/>
              </w:rPr>
              <w:t xml:space="preserve"> 4,743 </w:t>
            </w:r>
          </w:p>
        </w:tc>
        <w:tc>
          <w:tcPr>
            <w:tcW w:w="1442" w:type="dxa"/>
          </w:tcPr>
          <w:p w:rsidR="00A97341" w:rsidRPr="00A97341" w:rsidRDefault="00A97341" w:rsidP="00A97341">
            <w:pPr>
              <w:pStyle w:val="FinancialsTableText"/>
              <w:jc w:val="right"/>
            </w:pPr>
            <w:r w:rsidRPr="00A97341">
              <w:t xml:space="preserve"> 313 </w:t>
            </w:r>
          </w:p>
        </w:tc>
        <w:tc>
          <w:tcPr>
            <w:tcW w:w="1455" w:type="dxa"/>
            <w:shd w:val="clear" w:color="auto" w:fill="E6E7E9"/>
          </w:tcPr>
          <w:p w:rsidR="00A97341" w:rsidRPr="00A97341" w:rsidRDefault="00A97341" w:rsidP="00A97341">
            <w:pPr>
              <w:pStyle w:val="FinancialsTableText"/>
              <w:jc w:val="right"/>
            </w:pPr>
            <w:r w:rsidRPr="00A97341">
              <w:t xml:space="preserve"> – </w:t>
            </w:r>
          </w:p>
        </w:tc>
        <w:tc>
          <w:tcPr>
            <w:tcW w:w="1134" w:type="dxa"/>
          </w:tcPr>
          <w:p w:rsidR="00A97341" w:rsidRPr="007B764C" w:rsidRDefault="00A97341" w:rsidP="00A97341">
            <w:pPr>
              <w:pStyle w:val="FinancialsTableText"/>
              <w:jc w:val="right"/>
              <w:rPr>
                <w:b/>
              </w:rPr>
            </w:pPr>
            <w:r w:rsidRPr="007B764C">
              <w:rPr>
                <w:b/>
              </w:rPr>
              <w:t xml:space="preserve"> – </w:t>
            </w:r>
          </w:p>
        </w:tc>
        <w:tc>
          <w:tcPr>
            <w:tcW w:w="1442" w:type="dxa"/>
          </w:tcPr>
          <w:p w:rsidR="00A97341" w:rsidRPr="00A97341" w:rsidRDefault="00A97341" w:rsidP="00A97341">
            <w:pPr>
              <w:pStyle w:val="FinancialsTableText"/>
              <w:jc w:val="right"/>
            </w:pPr>
            <w:r w:rsidRPr="00A97341">
              <w:t xml:space="preserve"> – </w:t>
            </w:r>
          </w:p>
        </w:tc>
        <w:tc>
          <w:tcPr>
            <w:tcW w:w="1442" w:type="dxa"/>
            <w:shd w:val="clear" w:color="auto" w:fill="E6E7E9"/>
          </w:tcPr>
          <w:p w:rsidR="00A97341" w:rsidRPr="00A97341" w:rsidRDefault="00A97341" w:rsidP="00A97341">
            <w:pPr>
              <w:pStyle w:val="FinancialsTableText"/>
              <w:jc w:val="right"/>
            </w:pPr>
            <w:r w:rsidRPr="00A97341">
              <w:t xml:space="preserve"> – </w:t>
            </w:r>
          </w:p>
        </w:tc>
      </w:tr>
      <w:tr w:rsidR="00A97341" w:rsidRPr="00A97341" w:rsidTr="007B764C">
        <w:trPr>
          <w:trHeight w:val="60"/>
        </w:trPr>
        <w:tc>
          <w:tcPr>
            <w:tcW w:w="1848" w:type="dxa"/>
          </w:tcPr>
          <w:p w:rsidR="00A97341" w:rsidRPr="00A97341" w:rsidRDefault="00A97341" w:rsidP="00A97341">
            <w:pPr>
              <w:pStyle w:val="FinancialsTableText"/>
            </w:pPr>
            <w:r w:rsidRPr="00A97341">
              <w:t>Related Entity</w:t>
            </w:r>
          </w:p>
        </w:tc>
        <w:tc>
          <w:tcPr>
            <w:tcW w:w="1120" w:type="dxa"/>
          </w:tcPr>
          <w:p w:rsidR="00A97341" w:rsidRPr="007B764C" w:rsidRDefault="00A97341" w:rsidP="00A97341">
            <w:pPr>
              <w:pStyle w:val="FinancialsTableText"/>
              <w:jc w:val="right"/>
              <w:rPr>
                <w:b/>
              </w:rPr>
            </w:pPr>
            <w:r w:rsidRPr="007B764C">
              <w:rPr>
                <w:b/>
              </w:rPr>
              <w:t xml:space="preserve"> 548 </w:t>
            </w:r>
          </w:p>
        </w:tc>
        <w:tc>
          <w:tcPr>
            <w:tcW w:w="1442" w:type="dxa"/>
          </w:tcPr>
          <w:p w:rsidR="00A97341" w:rsidRPr="00A97341" w:rsidRDefault="00A97341" w:rsidP="00A97341">
            <w:pPr>
              <w:pStyle w:val="FinancialsTableText"/>
              <w:jc w:val="right"/>
            </w:pPr>
            <w:r w:rsidRPr="00A97341">
              <w:t xml:space="preserve"> 55 </w:t>
            </w:r>
          </w:p>
        </w:tc>
        <w:tc>
          <w:tcPr>
            <w:tcW w:w="1455" w:type="dxa"/>
            <w:shd w:val="clear" w:color="auto" w:fill="E6E7E9"/>
          </w:tcPr>
          <w:p w:rsidR="00A97341" w:rsidRPr="00A97341" w:rsidRDefault="00A97341" w:rsidP="00A97341">
            <w:pPr>
              <w:pStyle w:val="FinancialsTableText"/>
              <w:jc w:val="right"/>
            </w:pPr>
            <w:r w:rsidRPr="00A97341">
              <w:t xml:space="preserve"> – </w:t>
            </w:r>
          </w:p>
        </w:tc>
        <w:tc>
          <w:tcPr>
            <w:tcW w:w="1134" w:type="dxa"/>
          </w:tcPr>
          <w:p w:rsidR="00A97341" w:rsidRPr="007B764C" w:rsidRDefault="00A97341" w:rsidP="00A97341">
            <w:pPr>
              <w:pStyle w:val="FinancialsTableText"/>
              <w:jc w:val="right"/>
              <w:rPr>
                <w:b/>
              </w:rPr>
            </w:pPr>
            <w:r w:rsidRPr="007B764C">
              <w:rPr>
                <w:b/>
              </w:rPr>
              <w:t xml:space="preserve"> – </w:t>
            </w:r>
          </w:p>
        </w:tc>
        <w:tc>
          <w:tcPr>
            <w:tcW w:w="1442" w:type="dxa"/>
          </w:tcPr>
          <w:p w:rsidR="00A97341" w:rsidRPr="00A97341" w:rsidRDefault="00A97341" w:rsidP="00A97341">
            <w:pPr>
              <w:pStyle w:val="FinancialsTableText"/>
              <w:jc w:val="right"/>
            </w:pPr>
            <w:r w:rsidRPr="00A97341">
              <w:t xml:space="preserve"> – </w:t>
            </w:r>
          </w:p>
        </w:tc>
        <w:tc>
          <w:tcPr>
            <w:tcW w:w="1442" w:type="dxa"/>
            <w:shd w:val="clear" w:color="auto" w:fill="E6E7E9"/>
          </w:tcPr>
          <w:p w:rsidR="00A97341" w:rsidRPr="00A97341" w:rsidRDefault="00A97341" w:rsidP="00A97341">
            <w:pPr>
              <w:pStyle w:val="FinancialsTableText"/>
              <w:jc w:val="right"/>
            </w:pPr>
            <w:r w:rsidRPr="00A97341">
              <w:t xml:space="preserve"> – </w:t>
            </w:r>
          </w:p>
        </w:tc>
      </w:tr>
      <w:tr w:rsidR="00A97341" w:rsidRPr="00A97341" w:rsidTr="007B764C">
        <w:trPr>
          <w:trHeight w:val="60"/>
        </w:trPr>
        <w:tc>
          <w:tcPr>
            <w:tcW w:w="1848" w:type="dxa"/>
          </w:tcPr>
          <w:p w:rsidR="00A97341" w:rsidRPr="00A97341" w:rsidRDefault="00A97341" w:rsidP="00A97341">
            <w:pPr>
              <w:pStyle w:val="FinancialsTableText"/>
            </w:pPr>
            <w:r w:rsidRPr="00A97341">
              <w:t xml:space="preserve">Other receivables </w:t>
            </w:r>
          </w:p>
        </w:tc>
        <w:tc>
          <w:tcPr>
            <w:tcW w:w="1120" w:type="dxa"/>
          </w:tcPr>
          <w:p w:rsidR="00A97341" w:rsidRPr="007B764C" w:rsidRDefault="00A97341" w:rsidP="00A97341">
            <w:pPr>
              <w:pStyle w:val="FinancialsTableText"/>
              <w:jc w:val="right"/>
              <w:rPr>
                <w:b/>
              </w:rPr>
            </w:pPr>
            <w:r w:rsidRPr="007B764C">
              <w:rPr>
                <w:b/>
              </w:rPr>
              <w:t xml:space="preserve"> 590 </w:t>
            </w:r>
          </w:p>
        </w:tc>
        <w:tc>
          <w:tcPr>
            <w:tcW w:w="1442" w:type="dxa"/>
          </w:tcPr>
          <w:p w:rsidR="00A97341" w:rsidRPr="00A97341" w:rsidRDefault="00A97341" w:rsidP="00A97341">
            <w:pPr>
              <w:pStyle w:val="FinancialsTableText"/>
              <w:jc w:val="right"/>
            </w:pPr>
            <w:r w:rsidRPr="00A97341">
              <w:t xml:space="preserve"> 72 </w:t>
            </w:r>
          </w:p>
        </w:tc>
        <w:tc>
          <w:tcPr>
            <w:tcW w:w="1455" w:type="dxa"/>
            <w:shd w:val="clear" w:color="auto" w:fill="E6E7E9"/>
          </w:tcPr>
          <w:p w:rsidR="00A97341" w:rsidRPr="00A97341" w:rsidRDefault="00A97341" w:rsidP="00A97341">
            <w:pPr>
              <w:pStyle w:val="FinancialsTableText"/>
              <w:jc w:val="right"/>
            </w:pPr>
            <w:r w:rsidRPr="00A97341">
              <w:t xml:space="preserve"> 28 </w:t>
            </w:r>
          </w:p>
        </w:tc>
        <w:tc>
          <w:tcPr>
            <w:tcW w:w="1134" w:type="dxa"/>
          </w:tcPr>
          <w:p w:rsidR="00A97341" w:rsidRPr="007B764C" w:rsidRDefault="00A97341" w:rsidP="00A97341">
            <w:pPr>
              <w:pStyle w:val="FinancialsTableText"/>
              <w:jc w:val="right"/>
              <w:rPr>
                <w:b/>
              </w:rPr>
            </w:pPr>
            <w:r w:rsidRPr="007B764C">
              <w:rPr>
                <w:b/>
              </w:rPr>
              <w:t xml:space="preserve"> 242 </w:t>
            </w:r>
          </w:p>
        </w:tc>
        <w:tc>
          <w:tcPr>
            <w:tcW w:w="1442" w:type="dxa"/>
          </w:tcPr>
          <w:p w:rsidR="00A97341" w:rsidRPr="00A97341" w:rsidRDefault="00A97341" w:rsidP="00A97341">
            <w:pPr>
              <w:pStyle w:val="FinancialsTableText"/>
              <w:jc w:val="right"/>
            </w:pPr>
            <w:r w:rsidRPr="00A97341">
              <w:t xml:space="preserve"> – </w:t>
            </w:r>
          </w:p>
        </w:tc>
        <w:tc>
          <w:tcPr>
            <w:tcW w:w="1442" w:type="dxa"/>
            <w:shd w:val="clear" w:color="auto" w:fill="E6E7E9"/>
          </w:tcPr>
          <w:p w:rsidR="00A97341" w:rsidRPr="00A97341" w:rsidRDefault="00A97341" w:rsidP="00A97341">
            <w:pPr>
              <w:pStyle w:val="FinancialsTableText"/>
              <w:jc w:val="right"/>
            </w:pPr>
            <w:r w:rsidRPr="00A97341">
              <w:t xml:space="preserve"> – </w:t>
            </w:r>
          </w:p>
        </w:tc>
      </w:tr>
      <w:tr w:rsidR="00A97341" w:rsidRPr="00A97341" w:rsidTr="007B764C">
        <w:trPr>
          <w:trHeight w:val="60"/>
        </w:trPr>
        <w:tc>
          <w:tcPr>
            <w:tcW w:w="1848" w:type="dxa"/>
          </w:tcPr>
          <w:p w:rsidR="00A97341" w:rsidRPr="007B764C" w:rsidRDefault="00A97341" w:rsidP="00A97341">
            <w:pPr>
              <w:pStyle w:val="FinancialsTableText"/>
              <w:rPr>
                <w:b/>
              </w:rPr>
            </w:pPr>
            <w:r w:rsidRPr="007B764C">
              <w:rPr>
                <w:b/>
              </w:rPr>
              <w:t>Total</w:t>
            </w:r>
          </w:p>
        </w:tc>
        <w:tc>
          <w:tcPr>
            <w:tcW w:w="1120" w:type="dxa"/>
          </w:tcPr>
          <w:p w:rsidR="00A97341" w:rsidRPr="007B764C" w:rsidRDefault="00A97341" w:rsidP="00A97341">
            <w:pPr>
              <w:pStyle w:val="FinancialsTableText"/>
              <w:jc w:val="right"/>
              <w:rPr>
                <w:b/>
              </w:rPr>
            </w:pPr>
            <w:r w:rsidRPr="007B764C">
              <w:rPr>
                <w:b/>
              </w:rPr>
              <w:t xml:space="preserve"> 5,881 </w:t>
            </w:r>
          </w:p>
        </w:tc>
        <w:tc>
          <w:tcPr>
            <w:tcW w:w="1442" w:type="dxa"/>
          </w:tcPr>
          <w:p w:rsidR="00A97341" w:rsidRPr="00A97341" w:rsidRDefault="00A97341" w:rsidP="00A97341">
            <w:pPr>
              <w:pStyle w:val="FinancialsTableText"/>
              <w:jc w:val="right"/>
            </w:pPr>
            <w:r w:rsidRPr="00A97341">
              <w:t xml:space="preserve"> 440 </w:t>
            </w:r>
          </w:p>
        </w:tc>
        <w:tc>
          <w:tcPr>
            <w:tcW w:w="1455" w:type="dxa"/>
            <w:shd w:val="clear" w:color="auto" w:fill="E6E7E9"/>
          </w:tcPr>
          <w:p w:rsidR="00A97341" w:rsidRPr="00A97341" w:rsidRDefault="00A97341" w:rsidP="00A97341">
            <w:pPr>
              <w:pStyle w:val="FinancialsTableText"/>
              <w:jc w:val="right"/>
            </w:pPr>
            <w:r w:rsidRPr="00A97341">
              <w:t xml:space="preserve"> 28 </w:t>
            </w:r>
          </w:p>
        </w:tc>
        <w:tc>
          <w:tcPr>
            <w:tcW w:w="1134" w:type="dxa"/>
          </w:tcPr>
          <w:p w:rsidR="00A97341" w:rsidRPr="007B764C" w:rsidRDefault="00A97341" w:rsidP="00A97341">
            <w:pPr>
              <w:pStyle w:val="FinancialsTableText"/>
              <w:jc w:val="right"/>
              <w:rPr>
                <w:b/>
              </w:rPr>
            </w:pPr>
            <w:r w:rsidRPr="007B764C">
              <w:rPr>
                <w:b/>
              </w:rPr>
              <w:t xml:space="preserve"> 242 </w:t>
            </w:r>
          </w:p>
        </w:tc>
        <w:tc>
          <w:tcPr>
            <w:tcW w:w="1442" w:type="dxa"/>
          </w:tcPr>
          <w:p w:rsidR="00A97341" w:rsidRPr="00A97341" w:rsidRDefault="00A97341" w:rsidP="00A97341">
            <w:pPr>
              <w:pStyle w:val="FinancialsTableText"/>
              <w:jc w:val="right"/>
            </w:pPr>
            <w:r w:rsidRPr="00A97341">
              <w:t xml:space="preserve"> – </w:t>
            </w:r>
          </w:p>
        </w:tc>
        <w:tc>
          <w:tcPr>
            <w:tcW w:w="1442" w:type="dxa"/>
            <w:shd w:val="clear" w:color="auto" w:fill="E6E7E9"/>
          </w:tcPr>
          <w:p w:rsidR="00A97341" w:rsidRPr="00A97341" w:rsidRDefault="00A97341" w:rsidP="00A97341">
            <w:pPr>
              <w:pStyle w:val="FinancialsTableText"/>
              <w:jc w:val="right"/>
            </w:pPr>
            <w:r w:rsidRPr="00A97341">
              <w:t xml:space="preserve"> – </w:t>
            </w:r>
          </w:p>
        </w:tc>
      </w:tr>
    </w:tbl>
    <w:p w:rsidR="003D040D" w:rsidRDefault="003D040D" w:rsidP="003D040D">
      <w:pPr>
        <w:pStyle w:val="SourceNotesText"/>
      </w:pPr>
      <w:r>
        <w:t>There were no financial assets that were past due date and not impaired as at 30 June 2015 (30 June 2014: nil).</w:t>
      </w:r>
    </w:p>
    <w:p w:rsidR="003D040D" w:rsidRDefault="003D040D" w:rsidP="003D040D">
      <w:pPr>
        <w:pStyle w:val="FinancialsTableH1"/>
        <w:spacing w:before="360"/>
      </w:pPr>
      <w:r>
        <w:t>Note 13D: Liquidity risk</w:t>
      </w:r>
    </w:p>
    <w:p w:rsidR="00A97341" w:rsidRDefault="003D040D" w:rsidP="003D040D">
      <w:r>
        <w:t>IHPA financial liabilities were trade creditors and other payables. IHPA’s exposure to liquidity risk is limited due to its funding arrangements and mechanisms available to the entity. IHPA has internal policies and procedures in place to ensure there were appropriate resources available to meet its financial obligations.</w:t>
      </w:r>
    </w:p>
    <w:p w:rsidR="003D040D" w:rsidRDefault="003D040D" w:rsidP="001A2D78">
      <w:pPr>
        <w:pStyle w:val="FinancialsTableH2"/>
        <w:spacing w:after="120"/>
      </w:pPr>
      <w:r w:rsidRPr="003D040D">
        <w:t>Maturities for non-derivative financial liabilities in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Maturities for non-derivative financial liabilities in 2015"/>
      </w:tblPr>
      <w:tblGrid>
        <w:gridCol w:w="4116"/>
        <w:gridCol w:w="1922"/>
        <w:gridCol w:w="1922"/>
        <w:gridCol w:w="1923"/>
      </w:tblGrid>
      <w:tr w:rsidR="003D040D" w:rsidRPr="003D040D" w:rsidTr="003D040D">
        <w:trPr>
          <w:cnfStyle w:val="100000000000" w:firstRow="1" w:lastRow="0" w:firstColumn="0" w:lastColumn="0" w:oddVBand="0" w:evenVBand="0" w:oddHBand="0" w:evenHBand="0" w:firstRowFirstColumn="0" w:firstRowLastColumn="0" w:lastRowFirstColumn="0" w:lastRowLastColumn="0"/>
          <w:trHeight w:val="60"/>
        </w:trPr>
        <w:tc>
          <w:tcPr>
            <w:tcW w:w="4116" w:type="dxa"/>
          </w:tcPr>
          <w:p w:rsidR="003D040D" w:rsidRPr="003D040D" w:rsidRDefault="003D040D" w:rsidP="003D040D">
            <w:pPr>
              <w:pStyle w:val="FinancialsTableText"/>
            </w:pPr>
          </w:p>
        </w:tc>
        <w:tc>
          <w:tcPr>
            <w:tcW w:w="1922" w:type="dxa"/>
            <w:vAlign w:val="top"/>
          </w:tcPr>
          <w:p w:rsidR="003D040D" w:rsidRPr="003D040D" w:rsidRDefault="003D040D" w:rsidP="003D040D">
            <w:pPr>
              <w:pStyle w:val="FinancialsTableText"/>
              <w:jc w:val="right"/>
              <w:rPr>
                <w:bCs/>
                <w:lang w:val="en-GB"/>
              </w:rPr>
            </w:pPr>
            <w:r w:rsidRPr="003D040D">
              <w:rPr>
                <w:bCs/>
                <w:lang w:val="en-GB"/>
              </w:rPr>
              <w:t>2015 within a year</w:t>
            </w:r>
            <w:r>
              <w:rPr>
                <w:bCs/>
                <w:lang w:val="en-GB"/>
              </w:rPr>
              <w:br/>
            </w:r>
            <w:r w:rsidRPr="003D040D">
              <w:rPr>
                <w:b w:val="0"/>
                <w:lang w:val="en-GB"/>
              </w:rPr>
              <w:t>$’000</w:t>
            </w:r>
          </w:p>
        </w:tc>
        <w:tc>
          <w:tcPr>
            <w:tcW w:w="1922" w:type="dxa"/>
            <w:vAlign w:val="top"/>
          </w:tcPr>
          <w:p w:rsidR="003D040D" w:rsidRPr="003D040D" w:rsidRDefault="003D040D" w:rsidP="003D040D">
            <w:pPr>
              <w:pStyle w:val="FinancialsTableText"/>
              <w:jc w:val="right"/>
              <w:rPr>
                <w:bCs/>
                <w:lang w:val="en-GB"/>
              </w:rPr>
            </w:pPr>
            <w:r>
              <w:rPr>
                <w:bCs/>
                <w:lang w:val="en-GB"/>
              </w:rPr>
              <w:t>2014 within a year</w:t>
            </w:r>
            <w:r>
              <w:rPr>
                <w:bCs/>
                <w:lang w:val="en-GB"/>
              </w:rPr>
              <w:br/>
            </w:r>
            <w:r w:rsidRPr="003D040D">
              <w:rPr>
                <w:b w:val="0"/>
                <w:lang w:val="en-GB"/>
              </w:rPr>
              <w:t>$’000</w:t>
            </w:r>
            <w:r w:rsidRPr="003D040D">
              <w:rPr>
                <w:b w:val="0"/>
                <w:bCs/>
                <w:lang w:val="en-GB"/>
              </w:rPr>
              <w:br/>
            </w:r>
            <w:r w:rsidRPr="003D040D">
              <w:rPr>
                <w:b w:val="0"/>
                <w:lang w:val="en-GB"/>
              </w:rPr>
              <w:t>Departmental</w:t>
            </w:r>
          </w:p>
        </w:tc>
        <w:tc>
          <w:tcPr>
            <w:tcW w:w="1923" w:type="dxa"/>
            <w:shd w:val="clear" w:color="auto" w:fill="E6E7E9"/>
            <w:vAlign w:val="top"/>
          </w:tcPr>
          <w:p w:rsidR="003D040D" w:rsidRPr="003D040D" w:rsidRDefault="003D040D" w:rsidP="003D040D">
            <w:pPr>
              <w:pStyle w:val="FinancialsTableText"/>
              <w:jc w:val="right"/>
              <w:rPr>
                <w:bCs/>
                <w:lang w:val="en-GB"/>
              </w:rPr>
            </w:pPr>
            <w:r>
              <w:rPr>
                <w:bCs/>
                <w:lang w:val="en-GB"/>
              </w:rPr>
              <w:t>2014 within a year</w:t>
            </w:r>
            <w:r>
              <w:rPr>
                <w:bCs/>
                <w:lang w:val="en-GB"/>
              </w:rPr>
              <w:br/>
            </w:r>
            <w:r w:rsidRPr="003D040D">
              <w:rPr>
                <w:b w:val="0"/>
                <w:lang w:val="en-GB"/>
              </w:rPr>
              <w:t>$’000</w:t>
            </w:r>
            <w:r w:rsidRPr="003D040D">
              <w:rPr>
                <w:b w:val="0"/>
                <w:bCs/>
                <w:lang w:val="en-GB"/>
              </w:rPr>
              <w:br/>
            </w:r>
            <w:r w:rsidRPr="003D040D">
              <w:rPr>
                <w:b w:val="0"/>
                <w:lang w:val="en-GB"/>
              </w:rPr>
              <w:t>Administered</w:t>
            </w:r>
          </w:p>
        </w:tc>
      </w:tr>
      <w:tr w:rsidR="003D040D" w:rsidRPr="003D040D" w:rsidTr="003D040D">
        <w:trPr>
          <w:trHeight w:val="60"/>
        </w:trPr>
        <w:tc>
          <w:tcPr>
            <w:tcW w:w="4116" w:type="dxa"/>
          </w:tcPr>
          <w:p w:rsidR="003D040D" w:rsidRPr="003D040D" w:rsidRDefault="003D040D" w:rsidP="003D040D">
            <w:pPr>
              <w:pStyle w:val="FinancialsTableText"/>
              <w:rPr>
                <w:lang w:val="en-GB"/>
              </w:rPr>
            </w:pPr>
            <w:r w:rsidRPr="003D040D">
              <w:rPr>
                <w:lang w:val="en-GB"/>
              </w:rPr>
              <w:t xml:space="preserve">Trade creditors and accruals </w:t>
            </w:r>
          </w:p>
        </w:tc>
        <w:tc>
          <w:tcPr>
            <w:tcW w:w="1922" w:type="dxa"/>
          </w:tcPr>
          <w:p w:rsidR="003D040D" w:rsidRPr="003D040D" w:rsidRDefault="003D040D" w:rsidP="003D040D">
            <w:pPr>
              <w:pStyle w:val="FinancialsTableText"/>
              <w:jc w:val="right"/>
              <w:rPr>
                <w:b/>
                <w:bCs/>
                <w:lang w:val="en-GB"/>
              </w:rPr>
            </w:pPr>
            <w:r w:rsidRPr="003D040D">
              <w:rPr>
                <w:b/>
                <w:bCs/>
                <w:lang w:val="en-GB"/>
              </w:rPr>
              <w:t xml:space="preserve"> 3,892 </w:t>
            </w:r>
          </w:p>
        </w:tc>
        <w:tc>
          <w:tcPr>
            <w:tcW w:w="1922" w:type="dxa"/>
          </w:tcPr>
          <w:p w:rsidR="003D040D" w:rsidRPr="003D040D" w:rsidRDefault="003D040D" w:rsidP="003D040D">
            <w:pPr>
              <w:pStyle w:val="FinancialsTableText"/>
              <w:jc w:val="right"/>
              <w:rPr>
                <w:lang w:val="en-GB"/>
              </w:rPr>
            </w:pPr>
            <w:r w:rsidRPr="003D040D">
              <w:rPr>
                <w:lang w:val="en-GB"/>
              </w:rPr>
              <w:t xml:space="preserve"> 375 </w:t>
            </w:r>
          </w:p>
        </w:tc>
        <w:tc>
          <w:tcPr>
            <w:tcW w:w="1923" w:type="dxa"/>
            <w:shd w:val="clear" w:color="auto" w:fill="E6E7E9"/>
          </w:tcPr>
          <w:p w:rsidR="003D040D" w:rsidRPr="003D040D" w:rsidRDefault="003D040D" w:rsidP="003D040D">
            <w:pPr>
              <w:pStyle w:val="FinancialsTableText"/>
              <w:jc w:val="right"/>
              <w:rPr>
                <w:lang w:val="en-GB"/>
              </w:rPr>
            </w:pPr>
            <w:r w:rsidRPr="003D040D">
              <w:rPr>
                <w:lang w:val="en-GB"/>
              </w:rPr>
              <w:t xml:space="preserve"> 2,152 </w:t>
            </w:r>
          </w:p>
        </w:tc>
      </w:tr>
      <w:tr w:rsidR="003D040D" w:rsidRPr="003D040D" w:rsidTr="003D040D">
        <w:trPr>
          <w:trHeight w:val="60"/>
        </w:trPr>
        <w:tc>
          <w:tcPr>
            <w:tcW w:w="4116" w:type="dxa"/>
          </w:tcPr>
          <w:p w:rsidR="003D040D" w:rsidRPr="003D040D" w:rsidRDefault="003D040D" w:rsidP="003D040D">
            <w:pPr>
              <w:pStyle w:val="FinancialsTableText"/>
              <w:rPr>
                <w:lang w:val="en-GB"/>
              </w:rPr>
            </w:pPr>
            <w:r w:rsidRPr="003D040D">
              <w:rPr>
                <w:lang w:val="en-GB"/>
              </w:rPr>
              <w:t>Other payables</w:t>
            </w:r>
          </w:p>
        </w:tc>
        <w:tc>
          <w:tcPr>
            <w:tcW w:w="1922" w:type="dxa"/>
          </w:tcPr>
          <w:p w:rsidR="003D040D" w:rsidRPr="003D040D" w:rsidRDefault="003D040D" w:rsidP="003D040D">
            <w:pPr>
              <w:pStyle w:val="FinancialsTableText"/>
              <w:jc w:val="right"/>
              <w:rPr>
                <w:b/>
                <w:bCs/>
                <w:lang w:val="en-GB"/>
              </w:rPr>
            </w:pPr>
            <w:r w:rsidRPr="003D040D">
              <w:rPr>
                <w:b/>
                <w:bCs/>
                <w:lang w:val="en-GB"/>
              </w:rPr>
              <w:t xml:space="preserve"> 135 </w:t>
            </w:r>
          </w:p>
        </w:tc>
        <w:tc>
          <w:tcPr>
            <w:tcW w:w="1922" w:type="dxa"/>
          </w:tcPr>
          <w:p w:rsidR="003D040D" w:rsidRPr="003D040D" w:rsidRDefault="003D040D" w:rsidP="003D040D">
            <w:pPr>
              <w:pStyle w:val="FinancialsTableText"/>
              <w:jc w:val="right"/>
              <w:rPr>
                <w:lang w:val="en-GB"/>
              </w:rPr>
            </w:pPr>
            <w:r w:rsidRPr="003D040D">
              <w:rPr>
                <w:lang w:val="en-GB"/>
              </w:rPr>
              <w:t xml:space="preserve"> 105 </w:t>
            </w:r>
          </w:p>
        </w:tc>
        <w:tc>
          <w:tcPr>
            <w:tcW w:w="1923" w:type="dxa"/>
            <w:shd w:val="clear" w:color="auto" w:fill="E6E7E9"/>
          </w:tcPr>
          <w:p w:rsidR="003D040D" w:rsidRPr="003D040D" w:rsidRDefault="003D040D" w:rsidP="003D040D">
            <w:pPr>
              <w:pStyle w:val="FinancialsTableText"/>
              <w:jc w:val="right"/>
              <w:rPr>
                <w:lang w:val="en-GB"/>
              </w:rPr>
            </w:pPr>
            <w:r w:rsidRPr="003D040D">
              <w:rPr>
                <w:lang w:val="en-GB"/>
              </w:rPr>
              <w:t xml:space="preserve"> – </w:t>
            </w:r>
          </w:p>
        </w:tc>
      </w:tr>
      <w:tr w:rsidR="003D040D" w:rsidRPr="003D040D" w:rsidTr="003D040D">
        <w:trPr>
          <w:trHeight w:val="60"/>
        </w:trPr>
        <w:tc>
          <w:tcPr>
            <w:tcW w:w="4116" w:type="dxa"/>
          </w:tcPr>
          <w:p w:rsidR="003D040D" w:rsidRPr="003D040D" w:rsidRDefault="003D040D" w:rsidP="003D040D">
            <w:pPr>
              <w:pStyle w:val="FinancialsTableText"/>
              <w:rPr>
                <w:bCs/>
                <w:lang w:val="en-GB"/>
              </w:rPr>
            </w:pPr>
            <w:r w:rsidRPr="003D040D">
              <w:rPr>
                <w:bCs/>
                <w:lang w:val="en-GB"/>
              </w:rPr>
              <w:t>Total</w:t>
            </w:r>
          </w:p>
        </w:tc>
        <w:tc>
          <w:tcPr>
            <w:tcW w:w="1922" w:type="dxa"/>
          </w:tcPr>
          <w:p w:rsidR="003D040D" w:rsidRPr="003D040D" w:rsidRDefault="003D040D" w:rsidP="003D040D">
            <w:pPr>
              <w:pStyle w:val="FinancialsTableText"/>
              <w:jc w:val="right"/>
              <w:rPr>
                <w:b/>
                <w:bCs/>
                <w:lang w:val="en-GB"/>
              </w:rPr>
            </w:pPr>
            <w:r w:rsidRPr="003D040D">
              <w:rPr>
                <w:b/>
                <w:bCs/>
                <w:lang w:val="en-GB"/>
              </w:rPr>
              <w:t xml:space="preserve"> 4,027 </w:t>
            </w:r>
          </w:p>
        </w:tc>
        <w:tc>
          <w:tcPr>
            <w:tcW w:w="1922" w:type="dxa"/>
          </w:tcPr>
          <w:p w:rsidR="003D040D" w:rsidRPr="003D040D" w:rsidRDefault="003D040D" w:rsidP="003D040D">
            <w:pPr>
              <w:pStyle w:val="FinancialsTableText"/>
              <w:jc w:val="right"/>
              <w:rPr>
                <w:lang w:val="en-GB"/>
              </w:rPr>
            </w:pPr>
            <w:r w:rsidRPr="003D040D">
              <w:rPr>
                <w:lang w:val="en-GB"/>
              </w:rPr>
              <w:t xml:space="preserve"> 480 </w:t>
            </w:r>
          </w:p>
        </w:tc>
        <w:tc>
          <w:tcPr>
            <w:tcW w:w="1923" w:type="dxa"/>
            <w:shd w:val="clear" w:color="auto" w:fill="E6E7E9"/>
          </w:tcPr>
          <w:p w:rsidR="003D040D" w:rsidRPr="003D040D" w:rsidRDefault="003D040D" w:rsidP="003D040D">
            <w:pPr>
              <w:pStyle w:val="FinancialsTableText"/>
              <w:jc w:val="right"/>
              <w:rPr>
                <w:lang w:val="en-GB"/>
              </w:rPr>
            </w:pPr>
            <w:r w:rsidRPr="003D040D">
              <w:rPr>
                <w:lang w:val="en-GB"/>
              </w:rPr>
              <w:t xml:space="preserve"> 2,152 </w:t>
            </w:r>
          </w:p>
        </w:tc>
      </w:tr>
    </w:tbl>
    <w:p w:rsidR="001A2D78" w:rsidRDefault="001A2D78" w:rsidP="001A2D78">
      <w:pPr>
        <w:pStyle w:val="FinancialsH2"/>
      </w:pPr>
      <w:bookmarkStart w:id="37" w:name="_Toc433193217"/>
      <w:r w:rsidRPr="001A2D78">
        <w:t>Note 14: Financial assets reconciliation</w:t>
      </w:r>
      <w:bookmarkEnd w:id="37"/>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Financial assets reconciliation"/>
      </w:tblPr>
      <w:tblGrid>
        <w:gridCol w:w="5865"/>
        <w:gridCol w:w="1134"/>
        <w:gridCol w:w="1442"/>
        <w:gridCol w:w="1442"/>
      </w:tblGrid>
      <w:tr w:rsidR="00791767" w:rsidRPr="00791767" w:rsidTr="00791767">
        <w:trPr>
          <w:cnfStyle w:val="100000000000" w:firstRow="1" w:lastRow="0" w:firstColumn="0" w:lastColumn="0" w:oddVBand="0" w:evenVBand="0" w:oddHBand="0" w:evenHBand="0" w:firstRowFirstColumn="0" w:firstRowLastColumn="0" w:lastRowFirstColumn="0" w:lastRowLastColumn="0"/>
          <w:trHeight w:val="60"/>
        </w:trPr>
        <w:tc>
          <w:tcPr>
            <w:tcW w:w="5865" w:type="dxa"/>
          </w:tcPr>
          <w:p w:rsidR="00791767" w:rsidRPr="00791767" w:rsidRDefault="00791767" w:rsidP="00791767">
            <w:pPr>
              <w:pStyle w:val="FinancialsTableText"/>
            </w:pPr>
          </w:p>
        </w:tc>
        <w:tc>
          <w:tcPr>
            <w:tcW w:w="1134" w:type="dxa"/>
          </w:tcPr>
          <w:p w:rsidR="00791767" w:rsidRPr="008B0470" w:rsidRDefault="00791767" w:rsidP="00791767">
            <w:pPr>
              <w:pStyle w:val="FinancialsTableText"/>
              <w:jc w:val="right"/>
            </w:pPr>
            <w:r w:rsidRPr="008B0470">
              <w:t>2015</w:t>
            </w:r>
            <w:r>
              <w:br/>
            </w:r>
            <w:r w:rsidRPr="005D1D13">
              <w:rPr>
                <w:b w:val="0"/>
              </w:rPr>
              <w:t>$’000</w:t>
            </w:r>
          </w:p>
        </w:tc>
        <w:tc>
          <w:tcPr>
            <w:tcW w:w="1442" w:type="dxa"/>
          </w:tcPr>
          <w:p w:rsidR="00791767" w:rsidRPr="008B0470" w:rsidRDefault="00791767" w:rsidP="00791767">
            <w:pPr>
              <w:pStyle w:val="FinancialsTableText"/>
              <w:jc w:val="right"/>
            </w:pPr>
            <w:r w:rsidRPr="008B0470">
              <w:t>2014</w:t>
            </w:r>
            <w:r>
              <w:br/>
            </w:r>
            <w:r w:rsidRPr="005D1D13">
              <w:rPr>
                <w:b w:val="0"/>
              </w:rPr>
              <w:t>$’000</w:t>
            </w:r>
            <w:r w:rsidRPr="005D1D13">
              <w:rPr>
                <w:b w:val="0"/>
              </w:rPr>
              <w:br/>
              <w:t>Departmental</w:t>
            </w:r>
          </w:p>
        </w:tc>
        <w:tc>
          <w:tcPr>
            <w:tcW w:w="1442" w:type="dxa"/>
          </w:tcPr>
          <w:p w:rsidR="00791767" w:rsidRPr="008B0470" w:rsidRDefault="00791767" w:rsidP="00791767">
            <w:pPr>
              <w:pStyle w:val="FinancialsTableText"/>
              <w:jc w:val="right"/>
            </w:pPr>
            <w:r w:rsidRPr="008B0470">
              <w:t>2014</w:t>
            </w:r>
            <w:r>
              <w:br/>
            </w:r>
            <w:r w:rsidRPr="005D1D13">
              <w:rPr>
                <w:b w:val="0"/>
              </w:rPr>
              <w:t>$’000</w:t>
            </w:r>
            <w:r w:rsidRPr="005D1D13">
              <w:rPr>
                <w:b w:val="0"/>
              </w:rPr>
              <w:br/>
              <w:t>Administered</w:t>
            </w:r>
          </w:p>
        </w:tc>
      </w:tr>
      <w:tr w:rsidR="00791767" w:rsidRPr="00791767" w:rsidTr="00791767">
        <w:trPr>
          <w:trHeight w:val="60"/>
        </w:trPr>
        <w:tc>
          <w:tcPr>
            <w:tcW w:w="5865" w:type="dxa"/>
          </w:tcPr>
          <w:p w:rsidR="00791767" w:rsidRPr="00791767" w:rsidRDefault="00791767" w:rsidP="00791767">
            <w:pPr>
              <w:pStyle w:val="FinancialsTableH2"/>
              <w:rPr>
                <w:lang w:val="en-GB"/>
              </w:rPr>
            </w:pPr>
            <w:r w:rsidRPr="00791767">
              <w:rPr>
                <w:lang w:val="en-GB"/>
              </w:rPr>
              <w:t>Total financial assets as per statement of financial position</w:t>
            </w:r>
          </w:p>
        </w:tc>
        <w:tc>
          <w:tcPr>
            <w:tcW w:w="1134" w:type="dxa"/>
          </w:tcPr>
          <w:p w:rsidR="00791767" w:rsidRPr="00791767" w:rsidRDefault="00791767" w:rsidP="00791767">
            <w:pPr>
              <w:pStyle w:val="FinancialsTableText"/>
              <w:jc w:val="right"/>
              <w:rPr>
                <w:b/>
                <w:bCs/>
                <w:lang w:val="en-GB"/>
              </w:rPr>
            </w:pPr>
            <w:r w:rsidRPr="00791767">
              <w:rPr>
                <w:b/>
                <w:bCs/>
                <w:lang w:val="en-GB"/>
              </w:rPr>
              <w:t xml:space="preserve"> 24,607 </w:t>
            </w:r>
          </w:p>
        </w:tc>
        <w:tc>
          <w:tcPr>
            <w:tcW w:w="1442" w:type="dxa"/>
          </w:tcPr>
          <w:p w:rsidR="00791767" w:rsidRPr="00791767" w:rsidRDefault="00791767" w:rsidP="00791767">
            <w:pPr>
              <w:pStyle w:val="FinancialsTableText"/>
              <w:jc w:val="right"/>
              <w:rPr>
                <w:lang w:val="en-GB"/>
              </w:rPr>
            </w:pPr>
            <w:r w:rsidRPr="00791767">
              <w:rPr>
                <w:lang w:val="en-GB"/>
              </w:rPr>
              <w:t xml:space="preserve"> 20,438 </w:t>
            </w:r>
          </w:p>
        </w:tc>
        <w:tc>
          <w:tcPr>
            <w:tcW w:w="1442" w:type="dxa"/>
          </w:tcPr>
          <w:p w:rsidR="00791767" w:rsidRPr="00791767" w:rsidRDefault="00791767" w:rsidP="00791767">
            <w:pPr>
              <w:pStyle w:val="FinancialsTableText"/>
              <w:jc w:val="right"/>
              <w:rPr>
                <w:lang w:val="en-GB"/>
              </w:rPr>
            </w:pPr>
            <w:r w:rsidRPr="00791767">
              <w:rPr>
                <w:lang w:val="en-GB"/>
              </w:rPr>
              <w:t xml:space="preserve"> 274 </w:t>
            </w:r>
          </w:p>
        </w:tc>
      </w:tr>
      <w:tr w:rsidR="00791767" w:rsidRPr="00791767" w:rsidTr="00791767">
        <w:trPr>
          <w:trHeight w:val="60"/>
        </w:trPr>
        <w:tc>
          <w:tcPr>
            <w:tcW w:w="8441" w:type="dxa"/>
            <w:gridSpan w:val="3"/>
          </w:tcPr>
          <w:p w:rsidR="00791767" w:rsidRPr="00791767" w:rsidRDefault="00791767" w:rsidP="00791767">
            <w:pPr>
              <w:pStyle w:val="FinancialsTableText"/>
              <w:rPr>
                <w:b/>
                <w:bCs/>
                <w:lang w:val="en-GB"/>
              </w:rPr>
            </w:pPr>
            <w:r w:rsidRPr="00791767">
              <w:rPr>
                <w:b/>
                <w:bCs/>
                <w:lang w:val="en-GB"/>
              </w:rPr>
              <w:t>Less: Non-financial instrument components</w:t>
            </w:r>
          </w:p>
        </w:tc>
        <w:tc>
          <w:tcPr>
            <w:tcW w:w="1442" w:type="dxa"/>
          </w:tcPr>
          <w:p w:rsidR="00791767" w:rsidRPr="00791767" w:rsidRDefault="00791767" w:rsidP="00791767">
            <w:pPr>
              <w:pStyle w:val="FinancialsTableText"/>
            </w:pPr>
          </w:p>
        </w:tc>
      </w:tr>
      <w:tr w:rsidR="00791767" w:rsidRPr="00791767" w:rsidTr="00791767">
        <w:trPr>
          <w:trHeight w:val="60"/>
        </w:trPr>
        <w:tc>
          <w:tcPr>
            <w:tcW w:w="5865" w:type="dxa"/>
          </w:tcPr>
          <w:p w:rsidR="00791767" w:rsidRPr="00791767" w:rsidRDefault="00791767" w:rsidP="00791767">
            <w:pPr>
              <w:pStyle w:val="FinancialsTableText"/>
              <w:rPr>
                <w:lang w:val="en-GB"/>
              </w:rPr>
            </w:pPr>
            <w:r w:rsidRPr="00791767">
              <w:rPr>
                <w:lang w:val="en-GB"/>
              </w:rPr>
              <w:t>Appropriations receivable</w:t>
            </w:r>
          </w:p>
        </w:tc>
        <w:tc>
          <w:tcPr>
            <w:tcW w:w="1134" w:type="dxa"/>
          </w:tcPr>
          <w:p w:rsidR="00791767" w:rsidRPr="00791767" w:rsidRDefault="00791767" w:rsidP="00791767">
            <w:pPr>
              <w:pStyle w:val="FinancialsTableText"/>
              <w:jc w:val="right"/>
              <w:rPr>
                <w:b/>
                <w:bCs/>
                <w:lang w:val="en-GB"/>
              </w:rPr>
            </w:pPr>
            <w:r w:rsidRPr="00791767">
              <w:rPr>
                <w:b/>
                <w:bCs/>
                <w:lang w:val="en-GB"/>
              </w:rPr>
              <w:t xml:space="preserve"> 18,219 </w:t>
            </w:r>
          </w:p>
        </w:tc>
        <w:tc>
          <w:tcPr>
            <w:tcW w:w="1442" w:type="dxa"/>
          </w:tcPr>
          <w:p w:rsidR="00791767" w:rsidRPr="00791767" w:rsidRDefault="00791767" w:rsidP="00791767">
            <w:pPr>
              <w:pStyle w:val="FinancialsTableText"/>
              <w:jc w:val="right"/>
              <w:rPr>
                <w:lang w:val="en-GB"/>
              </w:rPr>
            </w:pPr>
            <w:r w:rsidRPr="00791767">
              <w:rPr>
                <w:lang w:val="en-GB"/>
              </w:rPr>
              <w:t xml:space="preserve"> 19,747 </w:t>
            </w:r>
          </w:p>
        </w:tc>
        <w:tc>
          <w:tcPr>
            <w:tcW w:w="1442" w:type="dxa"/>
          </w:tcPr>
          <w:p w:rsidR="00791767" w:rsidRPr="00791767" w:rsidRDefault="00791767" w:rsidP="00791767">
            <w:pPr>
              <w:pStyle w:val="FinancialsTableText"/>
              <w:jc w:val="right"/>
              <w:rPr>
                <w:lang w:val="en-GB"/>
              </w:rPr>
            </w:pPr>
            <w:r w:rsidRPr="00791767">
              <w:rPr>
                <w:lang w:val="en-GB"/>
              </w:rPr>
              <w:t xml:space="preserve"> – </w:t>
            </w:r>
          </w:p>
        </w:tc>
      </w:tr>
      <w:tr w:rsidR="00791767" w:rsidRPr="00791767" w:rsidTr="00791767">
        <w:trPr>
          <w:trHeight w:val="60"/>
        </w:trPr>
        <w:tc>
          <w:tcPr>
            <w:tcW w:w="5865" w:type="dxa"/>
          </w:tcPr>
          <w:p w:rsidR="00791767" w:rsidRPr="00791767" w:rsidRDefault="00791767" w:rsidP="00791767">
            <w:pPr>
              <w:pStyle w:val="FinancialsTableText"/>
              <w:rPr>
                <w:lang w:val="en-GB"/>
              </w:rPr>
            </w:pPr>
            <w:r w:rsidRPr="00791767">
              <w:rPr>
                <w:lang w:val="en-GB"/>
              </w:rPr>
              <w:t>Other receivable</w:t>
            </w:r>
          </w:p>
        </w:tc>
        <w:tc>
          <w:tcPr>
            <w:tcW w:w="1134" w:type="dxa"/>
          </w:tcPr>
          <w:p w:rsidR="00791767" w:rsidRPr="00791767" w:rsidRDefault="00791767" w:rsidP="00791767">
            <w:pPr>
              <w:pStyle w:val="FinancialsTableText"/>
              <w:jc w:val="right"/>
              <w:rPr>
                <w:b/>
                <w:bCs/>
                <w:lang w:val="en-GB"/>
              </w:rPr>
            </w:pPr>
            <w:r w:rsidRPr="00791767">
              <w:rPr>
                <w:b/>
                <w:bCs/>
                <w:lang w:val="en-GB"/>
              </w:rPr>
              <w:t xml:space="preserve"> 306 </w:t>
            </w:r>
          </w:p>
        </w:tc>
        <w:tc>
          <w:tcPr>
            <w:tcW w:w="1442" w:type="dxa"/>
          </w:tcPr>
          <w:p w:rsidR="00791767" w:rsidRPr="00791767" w:rsidRDefault="00791767" w:rsidP="00791767">
            <w:pPr>
              <w:pStyle w:val="FinancialsTableText"/>
              <w:jc w:val="right"/>
              <w:rPr>
                <w:lang w:val="en-GB"/>
              </w:rPr>
            </w:pPr>
            <w:r w:rsidRPr="00791767">
              <w:rPr>
                <w:lang w:val="en-GB"/>
              </w:rPr>
              <w:t xml:space="preserve"> 50 </w:t>
            </w:r>
          </w:p>
        </w:tc>
        <w:tc>
          <w:tcPr>
            <w:tcW w:w="1442" w:type="dxa"/>
          </w:tcPr>
          <w:p w:rsidR="00791767" w:rsidRPr="00791767" w:rsidRDefault="00791767" w:rsidP="00791767">
            <w:pPr>
              <w:pStyle w:val="FinancialsTableText"/>
              <w:jc w:val="right"/>
              <w:rPr>
                <w:lang w:val="en-GB"/>
              </w:rPr>
            </w:pPr>
            <w:r w:rsidRPr="00791767">
              <w:rPr>
                <w:lang w:val="en-GB"/>
              </w:rPr>
              <w:t xml:space="preserve"> 246 </w:t>
            </w:r>
          </w:p>
        </w:tc>
      </w:tr>
      <w:tr w:rsidR="00791767" w:rsidRPr="00791767" w:rsidTr="00791767">
        <w:trPr>
          <w:trHeight w:val="60"/>
        </w:trPr>
        <w:tc>
          <w:tcPr>
            <w:tcW w:w="5865" w:type="dxa"/>
          </w:tcPr>
          <w:p w:rsidR="00791767" w:rsidRPr="00791767" w:rsidRDefault="00791767" w:rsidP="00791767">
            <w:pPr>
              <w:pStyle w:val="FinancialsTableText"/>
              <w:rPr>
                <w:b/>
                <w:bCs/>
                <w:lang w:val="en-GB"/>
              </w:rPr>
            </w:pPr>
            <w:r w:rsidRPr="00791767">
              <w:rPr>
                <w:b/>
                <w:bCs/>
                <w:lang w:val="en-GB"/>
              </w:rPr>
              <w:t>Total non-financial instrument components</w:t>
            </w:r>
          </w:p>
        </w:tc>
        <w:tc>
          <w:tcPr>
            <w:tcW w:w="1134" w:type="dxa"/>
          </w:tcPr>
          <w:p w:rsidR="00791767" w:rsidRPr="00791767" w:rsidRDefault="00791767" w:rsidP="00791767">
            <w:pPr>
              <w:pStyle w:val="FinancialsTableText"/>
              <w:jc w:val="right"/>
              <w:rPr>
                <w:b/>
                <w:bCs/>
                <w:lang w:val="en-GB"/>
              </w:rPr>
            </w:pPr>
            <w:r w:rsidRPr="00791767">
              <w:rPr>
                <w:b/>
                <w:bCs/>
                <w:lang w:val="en-GB"/>
              </w:rPr>
              <w:t xml:space="preserve"> 18,525 </w:t>
            </w:r>
          </w:p>
        </w:tc>
        <w:tc>
          <w:tcPr>
            <w:tcW w:w="1442" w:type="dxa"/>
          </w:tcPr>
          <w:p w:rsidR="00791767" w:rsidRPr="00791767" w:rsidRDefault="00791767" w:rsidP="00791767">
            <w:pPr>
              <w:pStyle w:val="FinancialsTableText"/>
              <w:jc w:val="right"/>
              <w:rPr>
                <w:lang w:val="en-GB"/>
              </w:rPr>
            </w:pPr>
            <w:r w:rsidRPr="00791767">
              <w:rPr>
                <w:lang w:val="en-GB"/>
              </w:rPr>
              <w:t xml:space="preserve"> 19,797 </w:t>
            </w:r>
          </w:p>
        </w:tc>
        <w:tc>
          <w:tcPr>
            <w:tcW w:w="1442" w:type="dxa"/>
          </w:tcPr>
          <w:p w:rsidR="00791767" w:rsidRPr="00791767" w:rsidRDefault="00791767" w:rsidP="00791767">
            <w:pPr>
              <w:pStyle w:val="FinancialsTableText"/>
              <w:jc w:val="right"/>
              <w:rPr>
                <w:lang w:val="en-GB"/>
              </w:rPr>
            </w:pPr>
            <w:r w:rsidRPr="00791767">
              <w:rPr>
                <w:lang w:val="en-GB"/>
              </w:rPr>
              <w:t xml:space="preserve"> 246 </w:t>
            </w:r>
          </w:p>
        </w:tc>
      </w:tr>
      <w:tr w:rsidR="00791767" w:rsidRPr="00791767" w:rsidTr="00791767">
        <w:trPr>
          <w:trHeight w:val="60"/>
        </w:trPr>
        <w:tc>
          <w:tcPr>
            <w:tcW w:w="5865" w:type="dxa"/>
          </w:tcPr>
          <w:p w:rsidR="00791767" w:rsidRPr="00791767" w:rsidRDefault="00791767" w:rsidP="00791767">
            <w:pPr>
              <w:pStyle w:val="FinancialsTableText"/>
              <w:rPr>
                <w:b/>
                <w:bCs/>
                <w:lang w:val="en-GB"/>
              </w:rPr>
            </w:pPr>
            <w:r w:rsidRPr="00791767">
              <w:rPr>
                <w:b/>
                <w:bCs/>
                <w:lang w:val="en-GB"/>
              </w:rPr>
              <w:t>Total financial assets as per financial instruments note</w:t>
            </w:r>
          </w:p>
        </w:tc>
        <w:tc>
          <w:tcPr>
            <w:tcW w:w="1134" w:type="dxa"/>
          </w:tcPr>
          <w:p w:rsidR="00791767" w:rsidRPr="00791767" w:rsidRDefault="00791767" w:rsidP="00791767">
            <w:pPr>
              <w:pStyle w:val="FinancialsTableText"/>
              <w:jc w:val="right"/>
              <w:rPr>
                <w:b/>
                <w:bCs/>
                <w:lang w:val="en-GB"/>
              </w:rPr>
            </w:pPr>
            <w:r w:rsidRPr="00791767">
              <w:rPr>
                <w:b/>
                <w:bCs/>
                <w:lang w:val="en-GB"/>
              </w:rPr>
              <w:t xml:space="preserve"> 6,082 </w:t>
            </w:r>
          </w:p>
        </w:tc>
        <w:tc>
          <w:tcPr>
            <w:tcW w:w="1442" w:type="dxa"/>
          </w:tcPr>
          <w:p w:rsidR="00791767" w:rsidRPr="00791767" w:rsidRDefault="00791767" w:rsidP="00791767">
            <w:pPr>
              <w:pStyle w:val="FinancialsTableText"/>
              <w:jc w:val="right"/>
              <w:rPr>
                <w:lang w:val="en-GB"/>
              </w:rPr>
            </w:pPr>
            <w:r w:rsidRPr="00791767">
              <w:rPr>
                <w:lang w:val="en-GB"/>
              </w:rPr>
              <w:t xml:space="preserve"> 641 </w:t>
            </w:r>
          </w:p>
        </w:tc>
        <w:tc>
          <w:tcPr>
            <w:tcW w:w="1442" w:type="dxa"/>
          </w:tcPr>
          <w:p w:rsidR="00791767" w:rsidRPr="00791767" w:rsidRDefault="00791767" w:rsidP="00791767">
            <w:pPr>
              <w:pStyle w:val="FinancialsTableText"/>
              <w:jc w:val="right"/>
              <w:rPr>
                <w:lang w:val="en-GB"/>
              </w:rPr>
            </w:pPr>
            <w:r w:rsidRPr="00791767">
              <w:rPr>
                <w:lang w:val="en-GB"/>
              </w:rPr>
              <w:t xml:space="preserve"> 28</w:t>
            </w:r>
          </w:p>
        </w:tc>
      </w:tr>
    </w:tbl>
    <w:p w:rsidR="00F56BC1" w:rsidRDefault="00F56BC1" w:rsidP="001A2D78">
      <w:pPr>
        <w:sectPr w:rsidR="00F56BC1" w:rsidSect="00A34FF3">
          <w:headerReference w:type="default" r:id="rId40"/>
          <w:pgSz w:w="11906" w:h="16838" w:code="9"/>
          <w:pgMar w:top="1588" w:right="1021" w:bottom="851" w:left="1021" w:header="567" w:footer="510" w:gutter="0"/>
          <w:cols w:space="708"/>
          <w:docGrid w:linePitch="360"/>
        </w:sectPr>
      </w:pPr>
    </w:p>
    <w:p w:rsidR="00F56BC1" w:rsidRDefault="00F56BC1" w:rsidP="00D72F4F">
      <w:pPr>
        <w:pStyle w:val="FinancialsH2"/>
        <w:spacing w:before="0"/>
      </w:pPr>
      <w:bookmarkStart w:id="38" w:name="_Toc433193218"/>
      <w:r>
        <w:t>Note 15: Appropriations</w:t>
      </w:r>
      <w:bookmarkEnd w:id="38"/>
    </w:p>
    <w:p w:rsidR="00F56BC1" w:rsidRDefault="00F56BC1" w:rsidP="00F50D01">
      <w:pPr>
        <w:pStyle w:val="FinancialsTableH1"/>
      </w:pPr>
      <w:r>
        <w:t>Note 15A Annual appropriations (‘Recoverable GST exclusive’)</w:t>
      </w:r>
    </w:p>
    <w:p w:rsidR="001A2D78" w:rsidRDefault="00F56BC1" w:rsidP="00F56BC1">
      <w:pPr>
        <w:spacing w:before="0"/>
      </w:pPr>
      <w:r>
        <w:t>Annual Appropriations for 2015</w:t>
      </w:r>
    </w:p>
    <w:tbl>
      <w:tblPr>
        <w:tblStyle w:val="DefaultTable"/>
        <w:tblW w:w="0" w:type="auto"/>
        <w:tblBorders>
          <w:top w:val="single" w:sz="4" w:space="0" w:color="auto"/>
          <w:insideH w:val="single" w:sz="4" w:space="0" w:color="auto"/>
        </w:tblBorders>
        <w:tblLayout w:type="fixed"/>
        <w:tblLook w:val="0220" w:firstRow="1" w:lastRow="0" w:firstColumn="0" w:lastColumn="0" w:noHBand="1" w:noVBand="0"/>
        <w:tblDescription w:val="Annual Appropriations for 2015"/>
      </w:tblPr>
      <w:tblGrid>
        <w:gridCol w:w="3119"/>
        <w:gridCol w:w="1559"/>
        <w:gridCol w:w="1559"/>
        <w:gridCol w:w="1134"/>
        <w:gridCol w:w="1134"/>
        <w:gridCol w:w="1560"/>
        <w:gridCol w:w="1560"/>
        <w:gridCol w:w="1134"/>
        <w:gridCol w:w="1646"/>
      </w:tblGrid>
      <w:tr w:rsidR="009F43D0" w:rsidRPr="00F56BC1" w:rsidTr="00660951">
        <w:trPr>
          <w:cnfStyle w:val="100000000000" w:firstRow="1" w:lastRow="0" w:firstColumn="0" w:lastColumn="0" w:oddVBand="0" w:evenVBand="0" w:oddHBand="0" w:evenHBand="0" w:firstRowFirstColumn="0" w:firstRowLastColumn="0" w:lastRowFirstColumn="0" w:lastRowLastColumn="0"/>
          <w:trHeight w:val="60"/>
        </w:trPr>
        <w:tc>
          <w:tcPr>
            <w:tcW w:w="3119" w:type="dxa"/>
          </w:tcPr>
          <w:p w:rsidR="00F56BC1" w:rsidRPr="00F56BC1" w:rsidRDefault="00F56BC1" w:rsidP="00F56BC1">
            <w:pPr>
              <w:pStyle w:val="FinancialsTableText"/>
            </w:pPr>
          </w:p>
        </w:tc>
        <w:tc>
          <w:tcPr>
            <w:tcW w:w="1559" w:type="dxa"/>
          </w:tcPr>
          <w:p w:rsidR="00A11331" w:rsidRDefault="00F56BC1" w:rsidP="009F43D0">
            <w:pPr>
              <w:pStyle w:val="FinancialsTableText"/>
              <w:jc w:val="right"/>
            </w:pPr>
            <w:r w:rsidRPr="00F56BC1">
              <w:t xml:space="preserve">Appropriation Act </w:t>
            </w:r>
          </w:p>
          <w:p w:rsidR="00F56BC1" w:rsidRPr="00F56BC1" w:rsidRDefault="00F56BC1" w:rsidP="009F43D0">
            <w:pPr>
              <w:pStyle w:val="FinancialsTableText"/>
              <w:jc w:val="right"/>
            </w:pPr>
            <w:r w:rsidRPr="009F43D0">
              <w:rPr>
                <w:b w:val="0"/>
              </w:rPr>
              <w:t>Annual appropriation</w:t>
            </w:r>
            <w:r>
              <w:br/>
            </w:r>
            <w:r w:rsidRPr="009F43D0">
              <w:rPr>
                <w:b w:val="0"/>
              </w:rPr>
              <w:t>$’000</w:t>
            </w:r>
          </w:p>
        </w:tc>
        <w:tc>
          <w:tcPr>
            <w:tcW w:w="1559" w:type="dxa"/>
          </w:tcPr>
          <w:p w:rsidR="00A11331" w:rsidRDefault="00F56BC1" w:rsidP="009F43D0">
            <w:pPr>
              <w:pStyle w:val="FinancialsTableText"/>
              <w:jc w:val="right"/>
            </w:pPr>
            <w:r w:rsidRPr="00F56BC1">
              <w:t>Appropriation Act</w:t>
            </w:r>
            <w:r w:rsidR="00A11331">
              <w:br/>
            </w:r>
            <w:r w:rsidRPr="00F56BC1">
              <w:t xml:space="preserve"> </w:t>
            </w:r>
          </w:p>
          <w:p w:rsidR="00F56BC1" w:rsidRPr="00F56BC1" w:rsidRDefault="00F56BC1" w:rsidP="009F43D0">
            <w:pPr>
              <w:pStyle w:val="FinancialsTableText"/>
              <w:jc w:val="right"/>
            </w:pPr>
            <w:r w:rsidRPr="009F43D0">
              <w:rPr>
                <w:b w:val="0"/>
              </w:rPr>
              <w:t>AFM</w:t>
            </w:r>
            <w:r>
              <w:br/>
            </w:r>
            <w:r w:rsidRPr="009F43D0">
              <w:rPr>
                <w:b w:val="0"/>
              </w:rPr>
              <w:t>$’000</w:t>
            </w:r>
          </w:p>
        </w:tc>
        <w:tc>
          <w:tcPr>
            <w:tcW w:w="1134" w:type="dxa"/>
          </w:tcPr>
          <w:p w:rsidR="00F56BC1" w:rsidRDefault="00F56BC1" w:rsidP="009F43D0">
            <w:pPr>
              <w:pStyle w:val="FinancialsTableText"/>
              <w:jc w:val="right"/>
            </w:pPr>
            <w:r w:rsidRPr="00F56BC1">
              <w:t>PGPA Act</w:t>
            </w:r>
            <w:r w:rsidR="00A11331">
              <w:br/>
            </w:r>
            <w:r w:rsidR="00A11331">
              <w:br/>
            </w:r>
          </w:p>
          <w:p w:rsidR="00F56BC1" w:rsidRPr="00F56BC1" w:rsidRDefault="00F56BC1" w:rsidP="009F43D0">
            <w:pPr>
              <w:pStyle w:val="FinancialsTableText"/>
              <w:jc w:val="right"/>
            </w:pPr>
            <w:r w:rsidRPr="009F43D0">
              <w:rPr>
                <w:b w:val="0"/>
              </w:rPr>
              <w:t>Section 74</w:t>
            </w:r>
            <w:r>
              <w:br/>
            </w:r>
            <w:r w:rsidRPr="009F43D0">
              <w:rPr>
                <w:b w:val="0"/>
              </w:rPr>
              <w:t>$’000</w:t>
            </w:r>
          </w:p>
        </w:tc>
        <w:tc>
          <w:tcPr>
            <w:tcW w:w="1134" w:type="dxa"/>
          </w:tcPr>
          <w:p w:rsidR="00F56BC1" w:rsidRDefault="00F56BC1" w:rsidP="009F43D0">
            <w:pPr>
              <w:pStyle w:val="FinancialsTableText"/>
              <w:jc w:val="right"/>
            </w:pPr>
            <w:r w:rsidRPr="00F56BC1">
              <w:t>PGPA Act</w:t>
            </w:r>
            <w:r w:rsidR="00A11331">
              <w:br/>
            </w:r>
            <w:r w:rsidR="00A11331">
              <w:br/>
            </w:r>
          </w:p>
          <w:p w:rsidR="00F56BC1" w:rsidRPr="009F43D0" w:rsidRDefault="00F56BC1" w:rsidP="009F43D0">
            <w:pPr>
              <w:pStyle w:val="FinancialsTableText"/>
              <w:jc w:val="right"/>
              <w:rPr>
                <w:b w:val="0"/>
              </w:rPr>
            </w:pPr>
            <w:r w:rsidRPr="009F43D0">
              <w:rPr>
                <w:b w:val="0"/>
              </w:rPr>
              <w:t>Section 75</w:t>
            </w:r>
            <w:r w:rsidRPr="009F43D0">
              <w:rPr>
                <w:b w:val="0"/>
              </w:rPr>
              <w:br/>
              <w:t>$’000</w:t>
            </w:r>
          </w:p>
        </w:tc>
        <w:tc>
          <w:tcPr>
            <w:tcW w:w="1559" w:type="dxa"/>
          </w:tcPr>
          <w:p w:rsidR="00F56BC1" w:rsidRPr="00F56BC1" w:rsidRDefault="00F56BC1" w:rsidP="009F43D0">
            <w:pPr>
              <w:pStyle w:val="FinancialsTableText"/>
              <w:jc w:val="right"/>
            </w:pPr>
            <w:r w:rsidRPr="00F56BC1">
              <w:t>Total appropriation</w:t>
            </w:r>
            <w:r>
              <w:br/>
            </w:r>
            <w:r w:rsidRPr="009F43D0">
              <w:rPr>
                <w:b w:val="0"/>
              </w:rPr>
              <w:t>$’000</w:t>
            </w:r>
          </w:p>
        </w:tc>
        <w:tc>
          <w:tcPr>
            <w:tcW w:w="1560" w:type="dxa"/>
          </w:tcPr>
          <w:p w:rsidR="00F56BC1" w:rsidRPr="00F56BC1" w:rsidRDefault="00F56BC1" w:rsidP="009F43D0">
            <w:pPr>
              <w:pStyle w:val="FinancialsTableText"/>
              <w:jc w:val="right"/>
            </w:pPr>
            <w:r w:rsidRPr="00F56BC1">
              <w:t>Appropriation applied in 2015 (current and prior years)</w:t>
            </w:r>
            <w:r>
              <w:br/>
            </w:r>
            <w:r w:rsidRPr="009F43D0">
              <w:rPr>
                <w:b w:val="0"/>
              </w:rPr>
              <w:t>$’000</w:t>
            </w:r>
          </w:p>
        </w:tc>
        <w:tc>
          <w:tcPr>
            <w:tcW w:w="1134" w:type="dxa"/>
          </w:tcPr>
          <w:p w:rsidR="00F56BC1" w:rsidRPr="00F56BC1" w:rsidRDefault="00F56BC1" w:rsidP="009F43D0">
            <w:pPr>
              <w:pStyle w:val="FinancialsTableText"/>
              <w:jc w:val="right"/>
            </w:pPr>
            <w:r w:rsidRPr="00F56BC1">
              <w:t>Variance</w:t>
            </w:r>
            <w:r>
              <w:br/>
            </w:r>
            <w:r w:rsidRPr="009F43D0">
              <w:rPr>
                <w:b w:val="0"/>
              </w:rPr>
              <w:t>$’000</w:t>
            </w:r>
          </w:p>
        </w:tc>
        <w:tc>
          <w:tcPr>
            <w:tcW w:w="1646" w:type="dxa"/>
          </w:tcPr>
          <w:p w:rsidR="00F56BC1" w:rsidRPr="00F56BC1" w:rsidRDefault="00F56BC1" w:rsidP="009F43D0">
            <w:pPr>
              <w:pStyle w:val="FinancialsTableText"/>
              <w:jc w:val="right"/>
            </w:pPr>
            <w:r w:rsidRPr="00F56BC1">
              <w:t>Section 51 determinations</w:t>
            </w:r>
            <w:r>
              <w:br/>
            </w:r>
            <w:r w:rsidRPr="009F43D0">
              <w:rPr>
                <w:b w:val="0"/>
              </w:rPr>
              <w:t>$’000</w:t>
            </w:r>
          </w:p>
        </w:tc>
      </w:tr>
      <w:tr w:rsidR="00F56BC1" w:rsidRPr="00F56BC1" w:rsidTr="00660951">
        <w:trPr>
          <w:trHeight w:val="60"/>
        </w:trPr>
        <w:tc>
          <w:tcPr>
            <w:tcW w:w="14404" w:type="dxa"/>
            <w:gridSpan w:val="9"/>
          </w:tcPr>
          <w:p w:rsidR="00F56BC1" w:rsidRPr="00F56BC1" w:rsidRDefault="00F56BC1" w:rsidP="00AD0F6D">
            <w:pPr>
              <w:pStyle w:val="FinancialsTableH2"/>
            </w:pPr>
            <w:r w:rsidRPr="00F56BC1">
              <w:t>Departmental</w:t>
            </w:r>
          </w:p>
        </w:tc>
      </w:tr>
      <w:tr w:rsidR="009F43D0" w:rsidRPr="00F56BC1" w:rsidTr="00660951">
        <w:trPr>
          <w:trHeight w:val="60"/>
        </w:trPr>
        <w:tc>
          <w:tcPr>
            <w:tcW w:w="3119" w:type="dxa"/>
          </w:tcPr>
          <w:p w:rsidR="00F56BC1" w:rsidRPr="00F56BC1" w:rsidRDefault="00F56BC1" w:rsidP="00F56BC1">
            <w:pPr>
              <w:pStyle w:val="FinancialsTableText"/>
            </w:pPr>
            <w:r w:rsidRPr="00F56BC1">
              <w:t>Ordinary annual services</w:t>
            </w:r>
          </w:p>
        </w:tc>
        <w:tc>
          <w:tcPr>
            <w:tcW w:w="1559" w:type="dxa"/>
          </w:tcPr>
          <w:p w:rsidR="00F56BC1" w:rsidRPr="00F56BC1" w:rsidRDefault="00F56BC1" w:rsidP="00F56BC1">
            <w:pPr>
              <w:pStyle w:val="FinancialsTableText"/>
              <w:jc w:val="right"/>
            </w:pPr>
            <w:r w:rsidRPr="00F56BC1">
              <w:t xml:space="preserve"> 25,726 </w:t>
            </w:r>
          </w:p>
        </w:tc>
        <w:tc>
          <w:tcPr>
            <w:tcW w:w="1559" w:type="dxa"/>
          </w:tcPr>
          <w:p w:rsidR="00F56BC1" w:rsidRPr="00F56BC1" w:rsidRDefault="00F56BC1" w:rsidP="00F56BC1">
            <w:pPr>
              <w:pStyle w:val="FinancialsTableText"/>
              <w:jc w:val="right"/>
            </w:pPr>
            <w:r w:rsidRPr="00F56BC1">
              <w:t xml:space="preserve"> – </w:t>
            </w:r>
          </w:p>
        </w:tc>
        <w:tc>
          <w:tcPr>
            <w:tcW w:w="1134" w:type="dxa"/>
          </w:tcPr>
          <w:p w:rsidR="00F56BC1" w:rsidRPr="00F56BC1" w:rsidRDefault="00F56BC1" w:rsidP="00F56BC1">
            <w:pPr>
              <w:pStyle w:val="FinancialsTableText"/>
              <w:jc w:val="right"/>
            </w:pPr>
            <w:r w:rsidRPr="00F56BC1">
              <w:t xml:space="preserve"> – </w:t>
            </w:r>
          </w:p>
        </w:tc>
        <w:tc>
          <w:tcPr>
            <w:tcW w:w="1134" w:type="dxa"/>
          </w:tcPr>
          <w:p w:rsidR="00F56BC1" w:rsidRPr="00F56BC1" w:rsidRDefault="00F56BC1" w:rsidP="00F56BC1">
            <w:pPr>
              <w:pStyle w:val="FinancialsTableText"/>
              <w:jc w:val="right"/>
            </w:pPr>
            <w:r w:rsidRPr="00F56BC1">
              <w:t xml:space="preserve"> – </w:t>
            </w:r>
          </w:p>
        </w:tc>
        <w:tc>
          <w:tcPr>
            <w:tcW w:w="1560" w:type="dxa"/>
          </w:tcPr>
          <w:p w:rsidR="00F56BC1" w:rsidRPr="00F56BC1" w:rsidRDefault="00F56BC1" w:rsidP="00F56BC1">
            <w:pPr>
              <w:pStyle w:val="FinancialsTableText"/>
              <w:jc w:val="right"/>
            </w:pPr>
            <w:r w:rsidRPr="00F56BC1">
              <w:t xml:space="preserve"> 25,726 </w:t>
            </w:r>
          </w:p>
        </w:tc>
        <w:tc>
          <w:tcPr>
            <w:tcW w:w="1559" w:type="dxa"/>
          </w:tcPr>
          <w:p w:rsidR="00F56BC1" w:rsidRPr="00F56BC1" w:rsidRDefault="00F56BC1" w:rsidP="00F56BC1">
            <w:pPr>
              <w:pStyle w:val="FinancialsTableText"/>
              <w:jc w:val="right"/>
            </w:pPr>
            <w:r w:rsidRPr="00F56BC1">
              <w:t xml:space="preserve"> 23,641 </w:t>
            </w:r>
          </w:p>
        </w:tc>
        <w:tc>
          <w:tcPr>
            <w:tcW w:w="1134" w:type="dxa"/>
          </w:tcPr>
          <w:p w:rsidR="00F56BC1" w:rsidRPr="00F56BC1" w:rsidRDefault="00F56BC1" w:rsidP="00F56BC1">
            <w:pPr>
              <w:pStyle w:val="FinancialsTableText"/>
              <w:jc w:val="right"/>
            </w:pPr>
            <w:r w:rsidRPr="00F56BC1">
              <w:t xml:space="preserve"> 2,085 </w:t>
            </w:r>
          </w:p>
        </w:tc>
        <w:tc>
          <w:tcPr>
            <w:tcW w:w="1646" w:type="dxa"/>
          </w:tcPr>
          <w:p w:rsidR="00F56BC1" w:rsidRPr="00F56BC1" w:rsidRDefault="00F56BC1" w:rsidP="00F56BC1">
            <w:pPr>
              <w:pStyle w:val="FinancialsTableText"/>
              <w:jc w:val="right"/>
            </w:pPr>
            <w:r w:rsidRPr="00F56BC1">
              <w:t xml:space="preserve"> – </w:t>
            </w:r>
          </w:p>
        </w:tc>
      </w:tr>
      <w:tr w:rsidR="009F43D0" w:rsidRPr="00F56BC1" w:rsidTr="00660951">
        <w:trPr>
          <w:trHeight w:val="60"/>
        </w:trPr>
        <w:tc>
          <w:tcPr>
            <w:tcW w:w="3119" w:type="dxa"/>
          </w:tcPr>
          <w:p w:rsidR="00F56BC1" w:rsidRPr="00885864" w:rsidRDefault="00F56BC1" w:rsidP="00F56BC1">
            <w:pPr>
              <w:pStyle w:val="FinancialsTableText"/>
              <w:rPr>
                <w:b/>
              </w:rPr>
            </w:pPr>
            <w:r w:rsidRPr="00885864">
              <w:rPr>
                <w:b/>
              </w:rPr>
              <w:t>Total departmental</w:t>
            </w:r>
          </w:p>
        </w:tc>
        <w:tc>
          <w:tcPr>
            <w:tcW w:w="1559" w:type="dxa"/>
          </w:tcPr>
          <w:p w:rsidR="00F56BC1" w:rsidRPr="00885864" w:rsidRDefault="00F56BC1" w:rsidP="00F56BC1">
            <w:pPr>
              <w:pStyle w:val="FinancialsTableText"/>
              <w:jc w:val="right"/>
              <w:rPr>
                <w:b/>
              </w:rPr>
            </w:pPr>
            <w:r w:rsidRPr="00885864">
              <w:rPr>
                <w:b/>
              </w:rPr>
              <w:t xml:space="preserve"> 25,726 </w:t>
            </w:r>
          </w:p>
        </w:tc>
        <w:tc>
          <w:tcPr>
            <w:tcW w:w="1559" w:type="dxa"/>
          </w:tcPr>
          <w:p w:rsidR="00F56BC1" w:rsidRPr="00885864" w:rsidRDefault="00F56BC1" w:rsidP="00F56BC1">
            <w:pPr>
              <w:pStyle w:val="FinancialsTableText"/>
              <w:jc w:val="right"/>
              <w:rPr>
                <w:b/>
              </w:rPr>
            </w:pPr>
            <w:r w:rsidRPr="00885864">
              <w:rPr>
                <w:b/>
              </w:rPr>
              <w:t xml:space="preserve"> – </w:t>
            </w:r>
          </w:p>
        </w:tc>
        <w:tc>
          <w:tcPr>
            <w:tcW w:w="1134" w:type="dxa"/>
          </w:tcPr>
          <w:p w:rsidR="00F56BC1" w:rsidRPr="00885864" w:rsidRDefault="00F56BC1" w:rsidP="00F56BC1">
            <w:pPr>
              <w:pStyle w:val="FinancialsTableText"/>
              <w:jc w:val="right"/>
              <w:rPr>
                <w:b/>
              </w:rPr>
            </w:pPr>
            <w:r w:rsidRPr="00885864">
              <w:rPr>
                <w:b/>
              </w:rPr>
              <w:t xml:space="preserve"> – </w:t>
            </w:r>
          </w:p>
        </w:tc>
        <w:tc>
          <w:tcPr>
            <w:tcW w:w="1134" w:type="dxa"/>
          </w:tcPr>
          <w:p w:rsidR="00F56BC1" w:rsidRPr="00885864" w:rsidRDefault="00F56BC1" w:rsidP="00F56BC1">
            <w:pPr>
              <w:pStyle w:val="FinancialsTableText"/>
              <w:jc w:val="right"/>
              <w:rPr>
                <w:b/>
              </w:rPr>
            </w:pPr>
            <w:r w:rsidRPr="00885864">
              <w:rPr>
                <w:b/>
              </w:rPr>
              <w:t xml:space="preserve"> – </w:t>
            </w:r>
          </w:p>
        </w:tc>
        <w:tc>
          <w:tcPr>
            <w:tcW w:w="1560" w:type="dxa"/>
          </w:tcPr>
          <w:p w:rsidR="00F56BC1" w:rsidRPr="00885864" w:rsidRDefault="00F56BC1" w:rsidP="00F56BC1">
            <w:pPr>
              <w:pStyle w:val="FinancialsTableText"/>
              <w:jc w:val="right"/>
              <w:rPr>
                <w:b/>
              </w:rPr>
            </w:pPr>
            <w:r w:rsidRPr="00885864">
              <w:rPr>
                <w:b/>
              </w:rPr>
              <w:t xml:space="preserve"> 25,726 </w:t>
            </w:r>
          </w:p>
        </w:tc>
        <w:tc>
          <w:tcPr>
            <w:tcW w:w="1559" w:type="dxa"/>
          </w:tcPr>
          <w:p w:rsidR="00F56BC1" w:rsidRPr="00885864" w:rsidRDefault="00F56BC1" w:rsidP="00F56BC1">
            <w:pPr>
              <w:pStyle w:val="FinancialsTableText"/>
              <w:jc w:val="right"/>
              <w:rPr>
                <w:b/>
              </w:rPr>
            </w:pPr>
            <w:r w:rsidRPr="00885864">
              <w:rPr>
                <w:b/>
              </w:rPr>
              <w:t xml:space="preserve"> 23,641 </w:t>
            </w:r>
          </w:p>
        </w:tc>
        <w:tc>
          <w:tcPr>
            <w:tcW w:w="1134" w:type="dxa"/>
          </w:tcPr>
          <w:p w:rsidR="00F56BC1" w:rsidRPr="00885864" w:rsidRDefault="00F56BC1" w:rsidP="00F56BC1">
            <w:pPr>
              <w:pStyle w:val="FinancialsTableText"/>
              <w:jc w:val="right"/>
              <w:rPr>
                <w:b/>
              </w:rPr>
            </w:pPr>
            <w:r w:rsidRPr="00885864">
              <w:rPr>
                <w:b/>
              </w:rPr>
              <w:t xml:space="preserve"> 2,085 </w:t>
            </w:r>
          </w:p>
        </w:tc>
        <w:tc>
          <w:tcPr>
            <w:tcW w:w="1646" w:type="dxa"/>
          </w:tcPr>
          <w:p w:rsidR="00F56BC1" w:rsidRPr="00885864" w:rsidRDefault="00F56BC1" w:rsidP="00F56BC1">
            <w:pPr>
              <w:pStyle w:val="FinancialsTableText"/>
              <w:jc w:val="right"/>
              <w:rPr>
                <w:b/>
              </w:rPr>
            </w:pPr>
            <w:r w:rsidRPr="00885864">
              <w:rPr>
                <w:b/>
              </w:rPr>
              <w:t xml:space="preserve"> – </w:t>
            </w:r>
          </w:p>
        </w:tc>
      </w:tr>
    </w:tbl>
    <w:p w:rsidR="00F56BC1" w:rsidRDefault="00F56BC1" w:rsidP="00F50D01">
      <w:pPr>
        <w:pStyle w:val="FinancialsTableH1"/>
        <w:spacing w:before="360"/>
      </w:pPr>
      <w:r>
        <w:t>Note 15A Annual appropriations (‘Recoverable GST exclusive’)</w:t>
      </w:r>
    </w:p>
    <w:p w:rsidR="00F56BC1" w:rsidRDefault="00F56BC1" w:rsidP="00F56BC1">
      <w:pPr>
        <w:spacing w:before="0"/>
      </w:pPr>
      <w:r>
        <w:t>Annual Appropriations for 2014</w:t>
      </w:r>
    </w:p>
    <w:tbl>
      <w:tblPr>
        <w:tblStyle w:val="DefaultTable"/>
        <w:tblW w:w="14404" w:type="dxa"/>
        <w:tblBorders>
          <w:top w:val="single" w:sz="4" w:space="0" w:color="auto"/>
          <w:insideH w:val="single" w:sz="4" w:space="0" w:color="auto"/>
        </w:tblBorders>
        <w:tblLayout w:type="fixed"/>
        <w:tblLook w:val="0220" w:firstRow="1" w:lastRow="0" w:firstColumn="0" w:lastColumn="0" w:noHBand="1" w:noVBand="0"/>
        <w:tblDescription w:val="Annual Appropriations for 2014"/>
      </w:tblPr>
      <w:tblGrid>
        <w:gridCol w:w="3119"/>
        <w:gridCol w:w="1559"/>
        <w:gridCol w:w="1559"/>
        <w:gridCol w:w="1134"/>
        <w:gridCol w:w="1134"/>
        <w:gridCol w:w="1560"/>
        <w:gridCol w:w="1559"/>
        <w:gridCol w:w="1134"/>
        <w:gridCol w:w="1646"/>
      </w:tblGrid>
      <w:tr w:rsidR="00A11331" w:rsidRPr="00F56BC1" w:rsidTr="00660951">
        <w:trPr>
          <w:cnfStyle w:val="100000000000" w:firstRow="1" w:lastRow="0" w:firstColumn="0" w:lastColumn="0" w:oddVBand="0" w:evenVBand="0" w:oddHBand="0" w:evenHBand="0" w:firstRowFirstColumn="0" w:firstRowLastColumn="0" w:lastRowFirstColumn="0" w:lastRowLastColumn="0"/>
          <w:trHeight w:val="60"/>
        </w:trPr>
        <w:tc>
          <w:tcPr>
            <w:tcW w:w="3119" w:type="dxa"/>
          </w:tcPr>
          <w:p w:rsidR="00A11331" w:rsidRPr="00F56BC1" w:rsidRDefault="00A11331" w:rsidP="00E041F0">
            <w:pPr>
              <w:pStyle w:val="FinancialsTableText"/>
            </w:pPr>
          </w:p>
        </w:tc>
        <w:tc>
          <w:tcPr>
            <w:tcW w:w="1559" w:type="dxa"/>
          </w:tcPr>
          <w:p w:rsidR="00A11331" w:rsidRDefault="00A11331" w:rsidP="00E041F0">
            <w:pPr>
              <w:pStyle w:val="FinancialsTableText"/>
              <w:jc w:val="right"/>
            </w:pPr>
            <w:r w:rsidRPr="00F56BC1">
              <w:t xml:space="preserve">Appropriation Act </w:t>
            </w:r>
          </w:p>
          <w:p w:rsidR="00A11331" w:rsidRPr="00F56BC1" w:rsidRDefault="00A11331" w:rsidP="00E041F0">
            <w:pPr>
              <w:pStyle w:val="FinancialsTableText"/>
              <w:jc w:val="right"/>
            </w:pPr>
            <w:r w:rsidRPr="009F43D0">
              <w:rPr>
                <w:b w:val="0"/>
              </w:rPr>
              <w:t>Annual appropriation</w:t>
            </w:r>
            <w:r>
              <w:br/>
            </w:r>
            <w:r w:rsidRPr="009F43D0">
              <w:rPr>
                <w:b w:val="0"/>
              </w:rPr>
              <w:t>$’000</w:t>
            </w:r>
          </w:p>
        </w:tc>
        <w:tc>
          <w:tcPr>
            <w:tcW w:w="1559" w:type="dxa"/>
          </w:tcPr>
          <w:p w:rsidR="00A11331" w:rsidRDefault="00A11331" w:rsidP="00E041F0">
            <w:pPr>
              <w:pStyle w:val="FinancialsTableText"/>
              <w:jc w:val="right"/>
            </w:pPr>
            <w:r w:rsidRPr="00F56BC1">
              <w:t>Appropriation Act</w:t>
            </w:r>
            <w:r>
              <w:br/>
            </w:r>
            <w:r w:rsidRPr="00F56BC1">
              <w:t xml:space="preserve"> </w:t>
            </w:r>
          </w:p>
          <w:p w:rsidR="00A11331" w:rsidRPr="00F56BC1" w:rsidRDefault="00A11331" w:rsidP="00E041F0">
            <w:pPr>
              <w:pStyle w:val="FinancialsTableText"/>
              <w:jc w:val="right"/>
            </w:pPr>
            <w:r w:rsidRPr="009F43D0">
              <w:rPr>
                <w:b w:val="0"/>
              </w:rPr>
              <w:t>AFM</w:t>
            </w:r>
            <w:r>
              <w:br/>
            </w:r>
            <w:r w:rsidRPr="009F43D0">
              <w:rPr>
                <w:b w:val="0"/>
              </w:rPr>
              <w:t>$’000</w:t>
            </w:r>
          </w:p>
        </w:tc>
        <w:tc>
          <w:tcPr>
            <w:tcW w:w="1134" w:type="dxa"/>
          </w:tcPr>
          <w:p w:rsidR="00A11331" w:rsidRDefault="00A11331" w:rsidP="00E041F0">
            <w:pPr>
              <w:pStyle w:val="FinancialsTableText"/>
              <w:jc w:val="right"/>
            </w:pPr>
            <w:r w:rsidRPr="00F56BC1">
              <w:t>PGPA Act</w:t>
            </w:r>
            <w:r>
              <w:br/>
            </w:r>
            <w:r>
              <w:br/>
            </w:r>
          </w:p>
          <w:p w:rsidR="00A11331" w:rsidRPr="00F56BC1" w:rsidRDefault="00A11331" w:rsidP="00E041F0">
            <w:pPr>
              <w:pStyle w:val="FinancialsTableText"/>
              <w:jc w:val="right"/>
            </w:pPr>
            <w:r w:rsidRPr="009F43D0">
              <w:rPr>
                <w:b w:val="0"/>
              </w:rPr>
              <w:t>Section 74</w:t>
            </w:r>
            <w:r>
              <w:br/>
            </w:r>
            <w:r w:rsidRPr="009F43D0">
              <w:rPr>
                <w:b w:val="0"/>
              </w:rPr>
              <w:t>$’000</w:t>
            </w:r>
          </w:p>
        </w:tc>
        <w:tc>
          <w:tcPr>
            <w:tcW w:w="1134" w:type="dxa"/>
          </w:tcPr>
          <w:p w:rsidR="00A11331" w:rsidRDefault="00A11331" w:rsidP="00E041F0">
            <w:pPr>
              <w:pStyle w:val="FinancialsTableText"/>
              <w:jc w:val="right"/>
            </w:pPr>
            <w:r w:rsidRPr="00F56BC1">
              <w:t>PGPA Act</w:t>
            </w:r>
            <w:r>
              <w:br/>
            </w:r>
            <w:r>
              <w:br/>
            </w:r>
          </w:p>
          <w:p w:rsidR="00A11331" w:rsidRPr="009F43D0" w:rsidRDefault="00A11331" w:rsidP="00E041F0">
            <w:pPr>
              <w:pStyle w:val="FinancialsTableText"/>
              <w:jc w:val="right"/>
              <w:rPr>
                <w:b w:val="0"/>
              </w:rPr>
            </w:pPr>
            <w:r w:rsidRPr="009F43D0">
              <w:rPr>
                <w:b w:val="0"/>
              </w:rPr>
              <w:t>Section 75</w:t>
            </w:r>
            <w:r w:rsidRPr="009F43D0">
              <w:rPr>
                <w:b w:val="0"/>
              </w:rPr>
              <w:br/>
              <w:t>$’000</w:t>
            </w:r>
          </w:p>
        </w:tc>
        <w:tc>
          <w:tcPr>
            <w:tcW w:w="1560" w:type="dxa"/>
          </w:tcPr>
          <w:p w:rsidR="00A11331" w:rsidRPr="00F56BC1" w:rsidRDefault="00A11331" w:rsidP="00E041F0">
            <w:pPr>
              <w:pStyle w:val="FinancialsTableText"/>
              <w:jc w:val="right"/>
            </w:pPr>
            <w:r w:rsidRPr="00F56BC1">
              <w:t>Total appropriation</w:t>
            </w:r>
            <w:r>
              <w:br/>
            </w:r>
            <w:r w:rsidRPr="009F43D0">
              <w:rPr>
                <w:b w:val="0"/>
              </w:rPr>
              <w:t>$’000</w:t>
            </w:r>
          </w:p>
        </w:tc>
        <w:tc>
          <w:tcPr>
            <w:tcW w:w="1559" w:type="dxa"/>
          </w:tcPr>
          <w:p w:rsidR="00A11331" w:rsidRPr="00F56BC1" w:rsidRDefault="00A11331" w:rsidP="00030705">
            <w:pPr>
              <w:pStyle w:val="FinancialsTableText"/>
              <w:jc w:val="right"/>
            </w:pPr>
            <w:r w:rsidRPr="00F56BC1">
              <w:t>Appropriation applied in 201</w:t>
            </w:r>
            <w:r w:rsidR="00030705">
              <w:t>4</w:t>
            </w:r>
            <w:r w:rsidRPr="00F56BC1">
              <w:t xml:space="preserve"> (current and prior years)</w:t>
            </w:r>
            <w:r>
              <w:br/>
            </w:r>
            <w:r w:rsidRPr="009F43D0">
              <w:rPr>
                <w:b w:val="0"/>
              </w:rPr>
              <w:t>$’000</w:t>
            </w:r>
          </w:p>
        </w:tc>
        <w:tc>
          <w:tcPr>
            <w:tcW w:w="1134" w:type="dxa"/>
          </w:tcPr>
          <w:p w:rsidR="00A11331" w:rsidRPr="00F56BC1" w:rsidRDefault="00A11331" w:rsidP="00E041F0">
            <w:pPr>
              <w:pStyle w:val="FinancialsTableText"/>
              <w:jc w:val="right"/>
            </w:pPr>
            <w:r w:rsidRPr="00F56BC1">
              <w:t>Variance</w:t>
            </w:r>
            <w:r>
              <w:br/>
            </w:r>
            <w:r w:rsidRPr="009F43D0">
              <w:rPr>
                <w:b w:val="0"/>
              </w:rPr>
              <w:t>$’000</w:t>
            </w:r>
          </w:p>
        </w:tc>
        <w:tc>
          <w:tcPr>
            <w:tcW w:w="1646" w:type="dxa"/>
          </w:tcPr>
          <w:p w:rsidR="00A11331" w:rsidRPr="00F56BC1" w:rsidRDefault="00A11331" w:rsidP="00E041F0">
            <w:pPr>
              <w:pStyle w:val="FinancialsTableText"/>
              <w:jc w:val="right"/>
            </w:pPr>
            <w:r w:rsidRPr="00F56BC1">
              <w:t>Section 51 determinations</w:t>
            </w:r>
            <w:r>
              <w:br/>
            </w:r>
            <w:r w:rsidRPr="009F43D0">
              <w:rPr>
                <w:b w:val="0"/>
              </w:rPr>
              <w:t>$’000</w:t>
            </w:r>
          </w:p>
        </w:tc>
      </w:tr>
      <w:tr w:rsidR="00F56BC1" w:rsidRPr="00F56BC1" w:rsidTr="00660951">
        <w:trPr>
          <w:trHeight w:val="60"/>
        </w:trPr>
        <w:tc>
          <w:tcPr>
            <w:tcW w:w="14404" w:type="dxa"/>
            <w:gridSpan w:val="9"/>
          </w:tcPr>
          <w:p w:rsidR="00F56BC1" w:rsidRPr="00F56BC1" w:rsidRDefault="00F56BC1" w:rsidP="00885864">
            <w:pPr>
              <w:pStyle w:val="FinancialsTableH2"/>
              <w:rPr>
                <w:b w:val="0"/>
                <w:lang w:val="en-GB"/>
              </w:rPr>
            </w:pPr>
            <w:r w:rsidRPr="00F56BC1">
              <w:rPr>
                <w:lang w:val="en-GB"/>
              </w:rPr>
              <w:t>Departmental</w:t>
            </w:r>
          </w:p>
        </w:tc>
      </w:tr>
      <w:tr w:rsidR="00A11331" w:rsidRPr="00F56BC1" w:rsidTr="00660951">
        <w:trPr>
          <w:trHeight w:val="60"/>
        </w:trPr>
        <w:tc>
          <w:tcPr>
            <w:tcW w:w="3119" w:type="dxa"/>
          </w:tcPr>
          <w:p w:rsidR="00F56BC1" w:rsidRPr="00F56BC1" w:rsidRDefault="00F56BC1" w:rsidP="00F56BC1">
            <w:pPr>
              <w:pStyle w:val="FinancialsTableText"/>
              <w:rPr>
                <w:lang w:val="en-GB"/>
              </w:rPr>
            </w:pPr>
            <w:r w:rsidRPr="00F56BC1">
              <w:rPr>
                <w:lang w:val="en-GB"/>
              </w:rPr>
              <w:t>Ordinary annual services</w:t>
            </w:r>
          </w:p>
        </w:tc>
        <w:tc>
          <w:tcPr>
            <w:tcW w:w="1559" w:type="dxa"/>
          </w:tcPr>
          <w:p w:rsidR="00F56BC1" w:rsidRPr="00F56BC1" w:rsidRDefault="00F56BC1" w:rsidP="009F43D0">
            <w:pPr>
              <w:pStyle w:val="FinancialsTableText"/>
              <w:jc w:val="right"/>
              <w:rPr>
                <w:lang w:val="en-GB"/>
              </w:rPr>
            </w:pPr>
            <w:r w:rsidRPr="00F56BC1">
              <w:rPr>
                <w:lang w:val="en-GB"/>
              </w:rPr>
              <w:t xml:space="preserve"> 13,609 </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58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560" w:type="dxa"/>
          </w:tcPr>
          <w:p w:rsidR="00F56BC1" w:rsidRPr="00F56BC1" w:rsidRDefault="00F56BC1" w:rsidP="009F43D0">
            <w:pPr>
              <w:pStyle w:val="FinancialsTableText"/>
              <w:jc w:val="right"/>
              <w:rPr>
                <w:lang w:val="en-GB"/>
              </w:rPr>
            </w:pPr>
            <w:r w:rsidRPr="00F56BC1">
              <w:rPr>
                <w:lang w:val="en-GB"/>
              </w:rPr>
              <w:t xml:space="preserve"> 13,667 </w:t>
            </w:r>
          </w:p>
        </w:tc>
        <w:tc>
          <w:tcPr>
            <w:tcW w:w="1559" w:type="dxa"/>
          </w:tcPr>
          <w:p w:rsidR="00F56BC1" w:rsidRPr="00F56BC1" w:rsidRDefault="00F56BC1" w:rsidP="009F43D0">
            <w:pPr>
              <w:pStyle w:val="FinancialsTableText"/>
              <w:jc w:val="right"/>
              <w:rPr>
                <w:lang w:val="en-GB"/>
              </w:rPr>
            </w:pPr>
            <w:r w:rsidRPr="00F56BC1">
              <w:rPr>
                <w:lang w:val="en-GB"/>
              </w:rPr>
              <w:t xml:space="preserve"> (11,716)</w:t>
            </w:r>
          </w:p>
        </w:tc>
        <w:tc>
          <w:tcPr>
            <w:tcW w:w="1134" w:type="dxa"/>
          </w:tcPr>
          <w:p w:rsidR="00F56BC1" w:rsidRPr="00F56BC1" w:rsidRDefault="00F56BC1" w:rsidP="009F43D0">
            <w:pPr>
              <w:pStyle w:val="FinancialsTableText"/>
              <w:jc w:val="right"/>
              <w:rPr>
                <w:lang w:val="en-GB"/>
              </w:rPr>
            </w:pPr>
            <w:r w:rsidRPr="00F56BC1">
              <w:rPr>
                <w:lang w:val="en-GB"/>
              </w:rPr>
              <w:t xml:space="preserve"> 1,951 </w:t>
            </w:r>
          </w:p>
        </w:tc>
        <w:tc>
          <w:tcPr>
            <w:tcW w:w="1646" w:type="dxa"/>
          </w:tcPr>
          <w:p w:rsidR="00F56BC1" w:rsidRPr="00F56BC1" w:rsidRDefault="00F56BC1" w:rsidP="009F43D0">
            <w:pPr>
              <w:pStyle w:val="FinancialsTableText"/>
              <w:jc w:val="right"/>
              <w:rPr>
                <w:lang w:val="en-GB"/>
              </w:rPr>
            </w:pPr>
            <w:r w:rsidRPr="00F56BC1">
              <w:rPr>
                <w:lang w:val="en-GB"/>
              </w:rPr>
              <w:t xml:space="preserve"> – </w:t>
            </w:r>
          </w:p>
        </w:tc>
      </w:tr>
      <w:tr w:rsidR="00F56BC1" w:rsidRPr="00F56BC1" w:rsidTr="00660951">
        <w:trPr>
          <w:trHeight w:val="60"/>
        </w:trPr>
        <w:tc>
          <w:tcPr>
            <w:tcW w:w="3119" w:type="dxa"/>
          </w:tcPr>
          <w:p w:rsidR="00F56BC1" w:rsidRPr="00F56BC1" w:rsidRDefault="00F56BC1" w:rsidP="00F56BC1">
            <w:pPr>
              <w:pStyle w:val="FinancialsTableText"/>
              <w:rPr>
                <w:lang w:val="en-GB"/>
              </w:rPr>
            </w:pPr>
            <w:r w:rsidRPr="00F56BC1">
              <w:rPr>
                <w:lang w:val="en-GB"/>
              </w:rPr>
              <w:t>Other services</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560" w:type="dxa"/>
          </w:tcPr>
          <w:p w:rsidR="00F56BC1" w:rsidRPr="00F56BC1" w:rsidRDefault="00F56BC1" w:rsidP="009F43D0">
            <w:pPr>
              <w:pStyle w:val="FinancialsTableText"/>
              <w:jc w:val="right"/>
              <w:rPr>
                <w:lang w:val="en-GB"/>
              </w:rPr>
            </w:pPr>
            <w:r w:rsidRPr="00F56BC1">
              <w:rPr>
                <w:lang w:val="en-GB"/>
              </w:rPr>
              <w:t xml:space="preserve"> – </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646" w:type="dxa"/>
          </w:tcPr>
          <w:p w:rsidR="00F56BC1" w:rsidRPr="00F56BC1" w:rsidRDefault="00F56BC1" w:rsidP="009F43D0">
            <w:pPr>
              <w:pStyle w:val="FinancialsTableText"/>
              <w:jc w:val="right"/>
              <w:rPr>
                <w:lang w:val="en-GB"/>
              </w:rPr>
            </w:pPr>
            <w:r w:rsidRPr="00F56BC1">
              <w:rPr>
                <w:lang w:val="en-GB"/>
              </w:rPr>
              <w:t xml:space="preserve"> – </w:t>
            </w:r>
          </w:p>
        </w:tc>
      </w:tr>
      <w:tr w:rsidR="00A11331" w:rsidRPr="00F56BC1" w:rsidTr="00660951">
        <w:trPr>
          <w:trHeight w:val="60"/>
        </w:trPr>
        <w:tc>
          <w:tcPr>
            <w:tcW w:w="3119" w:type="dxa"/>
          </w:tcPr>
          <w:p w:rsidR="00F56BC1" w:rsidRPr="00F56BC1" w:rsidRDefault="00F56BC1" w:rsidP="00885864">
            <w:pPr>
              <w:pStyle w:val="FinancialsTableTextIndented"/>
              <w:rPr>
                <w:lang w:val="en-GB"/>
              </w:rPr>
            </w:pPr>
            <w:r w:rsidRPr="00F56BC1">
              <w:rPr>
                <w:lang w:val="en-GB"/>
              </w:rPr>
              <w:t>Equity</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560" w:type="dxa"/>
          </w:tcPr>
          <w:p w:rsidR="00F56BC1" w:rsidRPr="00F56BC1" w:rsidRDefault="00F56BC1" w:rsidP="009F43D0">
            <w:pPr>
              <w:pStyle w:val="FinancialsTableText"/>
              <w:jc w:val="right"/>
              <w:rPr>
                <w:lang w:val="en-GB"/>
              </w:rPr>
            </w:pPr>
            <w:r w:rsidRPr="00F56BC1">
              <w:rPr>
                <w:lang w:val="en-GB"/>
              </w:rPr>
              <w:t xml:space="preserve"> – </w:t>
            </w:r>
          </w:p>
        </w:tc>
        <w:tc>
          <w:tcPr>
            <w:tcW w:w="1559"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646" w:type="dxa"/>
          </w:tcPr>
          <w:p w:rsidR="00F56BC1" w:rsidRPr="00F56BC1" w:rsidRDefault="00F56BC1" w:rsidP="009F43D0">
            <w:pPr>
              <w:pStyle w:val="FinancialsTableText"/>
              <w:jc w:val="right"/>
              <w:rPr>
                <w:lang w:val="en-GB"/>
              </w:rPr>
            </w:pPr>
            <w:r w:rsidRPr="00F56BC1">
              <w:rPr>
                <w:lang w:val="en-GB"/>
              </w:rPr>
              <w:t xml:space="preserve"> – </w:t>
            </w:r>
          </w:p>
        </w:tc>
      </w:tr>
      <w:tr w:rsidR="00F56BC1" w:rsidRPr="00F56BC1" w:rsidTr="00660951">
        <w:trPr>
          <w:trHeight w:val="60"/>
        </w:trPr>
        <w:tc>
          <w:tcPr>
            <w:tcW w:w="3119" w:type="dxa"/>
          </w:tcPr>
          <w:p w:rsidR="00F56BC1" w:rsidRPr="00F56BC1" w:rsidRDefault="00F56BC1" w:rsidP="00F56BC1">
            <w:pPr>
              <w:pStyle w:val="FinancialsTableText"/>
              <w:rPr>
                <w:b/>
                <w:bCs/>
                <w:lang w:val="en-GB"/>
              </w:rPr>
            </w:pPr>
            <w:r w:rsidRPr="00F56BC1">
              <w:rPr>
                <w:b/>
                <w:bCs/>
                <w:lang w:val="en-GB"/>
              </w:rPr>
              <w:t>Total departmental</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13,609 </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 </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58 </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 </w:t>
            </w:r>
          </w:p>
        </w:tc>
        <w:tc>
          <w:tcPr>
            <w:tcW w:w="1560" w:type="dxa"/>
          </w:tcPr>
          <w:p w:rsidR="00F56BC1" w:rsidRPr="00F56BC1" w:rsidRDefault="00F56BC1" w:rsidP="009F43D0">
            <w:pPr>
              <w:pStyle w:val="FinancialsTableText"/>
              <w:jc w:val="right"/>
              <w:rPr>
                <w:b/>
                <w:bCs/>
                <w:lang w:val="en-GB"/>
              </w:rPr>
            </w:pPr>
            <w:r w:rsidRPr="00F56BC1">
              <w:rPr>
                <w:b/>
                <w:bCs/>
                <w:lang w:val="en-GB"/>
              </w:rPr>
              <w:t xml:space="preserve"> 13,667 </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(11,716)</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1,951 </w:t>
            </w:r>
          </w:p>
        </w:tc>
        <w:tc>
          <w:tcPr>
            <w:tcW w:w="1646" w:type="dxa"/>
          </w:tcPr>
          <w:p w:rsidR="00F56BC1" w:rsidRPr="00F56BC1" w:rsidRDefault="00F56BC1" w:rsidP="009F43D0">
            <w:pPr>
              <w:pStyle w:val="FinancialsTableText"/>
              <w:jc w:val="right"/>
            </w:pPr>
          </w:p>
        </w:tc>
      </w:tr>
      <w:tr w:rsidR="00F56BC1" w:rsidRPr="00F56BC1" w:rsidTr="00660951">
        <w:trPr>
          <w:trHeight w:val="60"/>
        </w:trPr>
        <w:tc>
          <w:tcPr>
            <w:tcW w:w="14404" w:type="dxa"/>
            <w:gridSpan w:val="9"/>
          </w:tcPr>
          <w:p w:rsidR="00F56BC1" w:rsidRPr="00F56BC1" w:rsidRDefault="00F56BC1" w:rsidP="00885864">
            <w:pPr>
              <w:pStyle w:val="FinancialsTableH2"/>
              <w:rPr>
                <w:lang w:val="en-GB"/>
              </w:rPr>
            </w:pPr>
            <w:r w:rsidRPr="00F56BC1">
              <w:rPr>
                <w:lang w:val="en-GB"/>
              </w:rPr>
              <w:t>Administered</w:t>
            </w:r>
          </w:p>
        </w:tc>
      </w:tr>
      <w:tr w:rsidR="00F56BC1" w:rsidRPr="00F56BC1" w:rsidTr="00660951">
        <w:trPr>
          <w:trHeight w:val="60"/>
        </w:trPr>
        <w:tc>
          <w:tcPr>
            <w:tcW w:w="14404" w:type="dxa"/>
            <w:gridSpan w:val="9"/>
          </w:tcPr>
          <w:p w:rsidR="00F56BC1" w:rsidRPr="00F56BC1" w:rsidRDefault="00F56BC1" w:rsidP="00F56BC1">
            <w:pPr>
              <w:pStyle w:val="FinancialsTableText"/>
              <w:rPr>
                <w:lang w:val="en-GB"/>
              </w:rPr>
            </w:pPr>
            <w:r w:rsidRPr="00F56BC1">
              <w:rPr>
                <w:lang w:val="en-GB"/>
              </w:rPr>
              <w:t>Ordinary annual services</w:t>
            </w:r>
          </w:p>
        </w:tc>
      </w:tr>
      <w:tr w:rsidR="00BC2A38" w:rsidRPr="00F56BC1" w:rsidTr="00660951">
        <w:trPr>
          <w:trHeight w:val="60"/>
        </w:trPr>
        <w:tc>
          <w:tcPr>
            <w:tcW w:w="3119" w:type="dxa"/>
          </w:tcPr>
          <w:p w:rsidR="00F56BC1" w:rsidRPr="00F56BC1" w:rsidRDefault="00F56BC1" w:rsidP="00F56BC1">
            <w:pPr>
              <w:pStyle w:val="FinancialsTableText"/>
              <w:rPr>
                <w:lang w:val="en-GB"/>
              </w:rPr>
            </w:pPr>
            <w:r w:rsidRPr="00F56BC1">
              <w:rPr>
                <w:lang w:val="en-GB"/>
              </w:rPr>
              <w:t>Administered items</w:t>
            </w:r>
          </w:p>
        </w:tc>
        <w:tc>
          <w:tcPr>
            <w:tcW w:w="1559" w:type="dxa"/>
          </w:tcPr>
          <w:p w:rsidR="00F56BC1" w:rsidRPr="00F56BC1" w:rsidRDefault="00F56BC1" w:rsidP="009F43D0">
            <w:pPr>
              <w:pStyle w:val="FinancialsTableText"/>
              <w:jc w:val="right"/>
              <w:rPr>
                <w:lang w:val="en-GB"/>
              </w:rPr>
            </w:pPr>
            <w:r w:rsidRPr="00F56BC1">
              <w:rPr>
                <w:lang w:val="en-GB"/>
              </w:rPr>
              <w:t xml:space="preserve"> 12,090 </w:t>
            </w:r>
          </w:p>
        </w:tc>
        <w:tc>
          <w:tcPr>
            <w:tcW w:w="1559" w:type="dxa"/>
          </w:tcPr>
          <w:p w:rsidR="00F56BC1" w:rsidRPr="00F56BC1" w:rsidRDefault="00F56BC1" w:rsidP="009F43D0">
            <w:pPr>
              <w:pStyle w:val="FinancialsTableText"/>
              <w:jc w:val="right"/>
              <w:rPr>
                <w:lang w:val="en-GB"/>
              </w:rPr>
            </w:pPr>
            <w:r w:rsidRPr="00F56BC1">
              <w:rPr>
                <w:lang w:val="en-GB"/>
              </w:rPr>
              <w:t xml:space="preserve"> (1,934)</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134" w:type="dxa"/>
          </w:tcPr>
          <w:p w:rsidR="00F56BC1" w:rsidRPr="00F56BC1" w:rsidRDefault="00F56BC1" w:rsidP="009F43D0">
            <w:pPr>
              <w:pStyle w:val="FinancialsTableText"/>
              <w:jc w:val="right"/>
              <w:rPr>
                <w:lang w:val="en-GB"/>
              </w:rPr>
            </w:pPr>
            <w:r w:rsidRPr="00F56BC1">
              <w:rPr>
                <w:lang w:val="en-GB"/>
              </w:rPr>
              <w:t xml:space="preserve"> – </w:t>
            </w:r>
          </w:p>
        </w:tc>
        <w:tc>
          <w:tcPr>
            <w:tcW w:w="1560" w:type="dxa"/>
          </w:tcPr>
          <w:p w:rsidR="00F56BC1" w:rsidRPr="00F56BC1" w:rsidRDefault="00F56BC1" w:rsidP="009F43D0">
            <w:pPr>
              <w:pStyle w:val="FinancialsTableText"/>
              <w:jc w:val="right"/>
              <w:rPr>
                <w:lang w:val="en-GB"/>
              </w:rPr>
            </w:pPr>
            <w:r w:rsidRPr="00F56BC1">
              <w:rPr>
                <w:lang w:val="en-GB"/>
              </w:rPr>
              <w:t xml:space="preserve"> 10,156 </w:t>
            </w:r>
          </w:p>
        </w:tc>
        <w:tc>
          <w:tcPr>
            <w:tcW w:w="1559" w:type="dxa"/>
          </w:tcPr>
          <w:p w:rsidR="00F56BC1" w:rsidRPr="00F56BC1" w:rsidRDefault="00F56BC1" w:rsidP="009F43D0">
            <w:pPr>
              <w:pStyle w:val="FinancialsTableText"/>
              <w:jc w:val="right"/>
              <w:rPr>
                <w:lang w:val="en-GB"/>
              </w:rPr>
            </w:pPr>
            <w:r w:rsidRPr="00F56BC1">
              <w:rPr>
                <w:lang w:val="en-GB"/>
              </w:rPr>
              <w:t xml:space="preserve"> (8,924)</w:t>
            </w:r>
          </w:p>
        </w:tc>
        <w:tc>
          <w:tcPr>
            <w:tcW w:w="1134" w:type="dxa"/>
          </w:tcPr>
          <w:p w:rsidR="00F56BC1" w:rsidRPr="00F56BC1" w:rsidRDefault="00F56BC1" w:rsidP="009F43D0">
            <w:pPr>
              <w:pStyle w:val="FinancialsTableText"/>
              <w:jc w:val="right"/>
              <w:rPr>
                <w:lang w:val="en-GB"/>
              </w:rPr>
            </w:pPr>
            <w:r w:rsidRPr="00F56BC1">
              <w:rPr>
                <w:lang w:val="en-GB"/>
              </w:rPr>
              <w:t xml:space="preserve"> 1,232 </w:t>
            </w:r>
          </w:p>
        </w:tc>
        <w:tc>
          <w:tcPr>
            <w:tcW w:w="1646" w:type="dxa"/>
          </w:tcPr>
          <w:p w:rsidR="00F56BC1" w:rsidRPr="00F56BC1" w:rsidRDefault="00F56BC1" w:rsidP="009F43D0">
            <w:pPr>
              <w:pStyle w:val="FinancialsTableText"/>
              <w:jc w:val="right"/>
              <w:rPr>
                <w:lang w:val="en-GB"/>
              </w:rPr>
            </w:pPr>
            <w:r w:rsidRPr="00F56BC1">
              <w:rPr>
                <w:lang w:val="en-GB"/>
              </w:rPr>
              <w:t xml:space="preserve"> – </w:t>
            </w:r>
          </w:p>
        </w:tc>
      </w:tr>
      <w:tr w:rsidR="00F56BC1" w:rsidRPr="00F56BC1" w:rsidTr="00660951">
        <w:trPr>
          <w:trHeight w:val="60"/>
        </w:trPr>
        <w:tc>
          <w:tcPr>
            <w:tcW w:w="3119" w:type="dxa"/>
          </w:tcPr>
          <w:p w:rsidR="00F56BC1" w:rsidRPr="00F56BC1" w:rsidRDefault="00F56BC1" w:rsidP="00F56BC1">
            <w:pPr>
              <w:pStyle w:val="FinancialsTableText"/>
              <w:rPr>
                <w:b/>
                <w:bCs/>
                <w:lang w:val="en-GB"/>
              </w:rPr>
            </w:pPr>
            <w:r w:rsidRPr="00F56BC1">
              <w:rPr>
                <w:b/>
                <w:bCs/>
                <w:lang w:val="en-GB"/>
              </w:rPr>
              <w:t>Total administered</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12,090 </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(1,934)</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 </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 </w:t>
            </w:r>
          </w:p>
        </w:tc>
        <w:tc>
          <w:tcPr>
            <w:tcW w:w="1560" w:type="dxa"/>
          </w:tcPr>
          <w:p w:rsidR="00F56BC1" w:rsidRPr="00F56BC1" w:rsidRDefault="00F56BC1" w:rsidP="009F43D0">
            <w:pPr>
              <w:pStyle w:val="FinancialsTableText"/>
              <w:jc w:val="right"/>
              <w:rPr>
                <w:b/>
                <w:bCs/>
                <w:lang w:val="en-GB"/>
              </w:rPr>
            </w:pPr>
            <w:r w:rsidRPr="00F56BC1">
              <w:rPr>
                <w:b/>
                <w:bCs/>
                <w:lang w:val="en-GB"/>
              </w:rPr>
              <w:t xml:space="preserve"> 10,156 </w:t>
            </w:r>
          </w:p>
        </w:tc>
        <w:tc>
          <w:tcPr>
            <w:tcW w:w="1559" w:type="dxa"/>
          </w:tcPr>
          <w:p w:rsidR="00F56BC1" w:rsidRPr="00F56BC1" w:rsidRDefault="00F56BC1" w:rsidP="009F43D0">
            <w:pPr>
              <w:pStyle w:val="FinancialsTableText"/>
              <w:jc w:val="right"/>
              <w:rPr>
                <w:b/>
                <w:bCs/>
                <w:lang w:val="en-GB"/>
              </w:rPr>
            </w:pPr>
            <w:r w:rsidRPr="00F56BC1">
              <w:rPr>
                <w:b/>
                <w:bCs/>
                <w:lang w:val="en-GB"/>
              </w:rPr>
              <w:t xml:space="preserve"> (8,924)</w:t>
            </w:r>
          </w:p>
        </w:tc>
        <w:tc>
          <w:tcPr>
            <w:tcW w:w="1134" w:type="dxa"/>
          </w:tcPr>
          <w:p w:rsidR="00F56BC1" w:rsidRPr="00F56BC1" w:rsidRDefault="00F56BC1" w:rsidP="009F43D0">
            <w:pPr>
              <w:pStyle w:val="FinancialsTableText"/>
              <w:jc w:val="right"/>
              <w:rPr>
                <w:b/>
                <w:bCs/>
                <w:lang w:val="en-GB"/>
              </w:rPr>
            </w:pPr>
            <w:r w:rsidRPr="00F56BC1">
              <w:rPr>
                <w:b/>
                <w:bCs/>
                <w:lang w:val="en-GB"/>
              </w:rPr>
              <w:t xml:space="preserve"> 1,232 </w:t>
            </w:r>
          </w:p>
        </w:tc>
        <w:tc>
          <w:tcPr>
            <w:tcW w:w="1646" w:type="dxa"/>
          </w:tcPr>
          <w:p w:rsidR="00F56BC1" w:rsidRPr="00F56BC1" w:rsidRDefault="00F56BC1" w:rsidP="009F43D0">
            <w:pPr>
              <w:pStyle w:val="FinancialsTableText"/>
              <w:jc w:val="right"/>
              <w:rPr>
                <w:b/>
                <w:bCs/>
                <w:lang w:val="en-GB"/>
              </w:rPr>
            </w:pPr>
            <w:r w:rsidRPr="00F56BC1">
              <w:rPr>
                <w:b/>
                <w:bCs/>
                <w:lang w:val="en-GB"/>
              </w:rPr>
              <w:t xml:space="preserve"> – </w:t>
            </w:r>
          </w:p>
        </w:tc>
      </w:tr>
    </w:tbl>
    <w:p w:rsidR="00100200" w:rsidRDefault="00100200" w:rsidP="00F56BC1">
      <w:r>
        <w:br w:type="page"/>
      </w:r>
    </w:p>
    <w:p w:rsidR="0052791F" w:rsidRDefault="0052791F" w:rsidP="00F50D01">
      <w:pPr>
        <w:pStyle w:val="FinancialsTableH1"/>
      </w:pPr>
      <w:r>
        <w:t>Note 15B Departmental and administered capital budgets (‘Recoverable GST exclusive’)</w:t>
      </w:r>
    </w:p>
    <w:p w:rsidR="00F56BC1" w:rsidRDefault="0052791F" w:rsidP="0052791F">
      <w:pPr>
        <w:spacing w:before="0"/>
      </w:pPr>
      <w:r>
        <w:t>Annual capital appropriations for 2015</w:t>
      </w:r>
    </w:p>
    <w:tbl>
      <w:tblPr>
        <w:tblStyle w:val="DefaultTable"/>
        <w:tblW w:w="0" w:type="auto"/>
        <w:tblBorders>
          <w:top w:val="single" w:sz="4" w:space="0" w:color="auto"/>
          <w:insideH w:val="single" w:sz="4" w:space="0" w:color="auto"/>
        </w:tblBorders>
        <w:tblLayout w:type="fixed"/>
        <w:tblLook w:val="0220" w:firstRow="1" w:lastRow="0" w:firstColumn="0" w:lastColumn="0" w:noHBand="1" w:noVBand="0"/>
        <w:tblDescription w:val="Annual Appropriations for 2015"/>
      </w:tblPr>
      <w:tblGrid>
        <w:gridCol w:w="3122"/>
        <w:gridCol w:w="1554"/>
        <w:gridCol w:w="1567"/>
        <w:gridCol w:w="1628"/>
        <w:gridCol w:w="1638"/>
        <w:gridCol w:w="1610"/>
        <w:gridCol w:w="19"/>
        <w:gridCol w:w="1629"/>
        <w:gridCol w:w="1649"/>
      </w:tblGrid>
      <w:tr w:rsidR="0052791F" w:rsidRPr="0052791F" w:rsidTr="0052791F">
        <w:trPr>
          <w:cnfStyle w:val="100000000000" w:firstRow="1" w:lastRow="0" w:firstColumn="0" w:lastColumn="0" w:oddVBand="0" w:evenVBand="0" w:oddHBand="0" w:evenHBand="0" w:firstRowFirstColumn="0" w:firstRowLastColumn="0" w:lastRowFirstColumn="0" w:lastRowLastColumn="0"/>
          <w:trHeight w:val="252"/>
        </w:trPr>
        <w:tc>
          <w:tcPr>
            <w:tcW w:w="3122" w:type="dxa"/>
            <w:vMerge w:val="restart"/>
          </w:tcPr>
          <w:p w:rsidR="0052791F" w:rsidRPr="0052791F" w:rsidRDefault="0052791F" w:rsidP="0052791F">
            <w:pPr>
              <w:pStyle w:val="FinancialsTableText"/>
            </w:pPr>
          </w:p>
        </w:tc>
        <w:tc>
          <w:tcPr>
            <w:tcW w:w="3121" w:type="dxa"/>
            <w:gridSpan w:val="2"/>
          </w:tcPr>
          <w:p w:rsidR="0052791F" w:rsidRPr="0052791F" w:rsidRDefault="0052791F" w:rsidP="0052791F">
            <w:pPr>
              <w:pStyle w:val="FinancialsTableText"/>
              <w:jc w:val="center"/>
            </w:pPr>
            <w:r w:rsidRPr="0052791F">
              <w:t>2015 capital budget appropriation</w:t>
            </w:r>
          </w:p>
        </w:tc>
        <w:tc>
          <w:tcPr>
            <w:tcW w:w="6524" w:type="dxa"/>
            <w:gridSpan w:val="5"/>
          </w:tcPr>
          <w:p w:rsidR="0052791F" w:rsidRPr="0052791F" w:rsidRDefault="0052791F" w:rsidP="0052791F">
            <w:pPr>
              <w:pStyle w:val="FinancialsTableText"/>
              <w:jc w:val="center"/>
            </w:pPr>
            <w:r w:rsidRPr="0052791F">
              <w:t xml:space="preserve">Capital budget appropriations applied in 2015 </w:t>
            </w:r>
            <w:r>
              <w:br/>
            </w:r>
            <w:r w:rsidRPr="0052791F">
              <w:rPr>
                <w:b w:val="0"/>
              </w:rPr>
              <w:t>(current and prior years)</w:t>
            </w:r>
          </w:p>
        </w:tc>
        <w:tc>
          <w:tcPr>
            <w:tcW w:w="1649" w:type="dxa"/>
            <w:vMerge w:val="restart"/>
          </w:tcPr>
          <w:p w:rsidR="0052791F" w:rsidRPr="0052791F" w:rsidRDefault="00811A18" w:rsidP="00811A18">
            <w:pPr>
              <w:pStyle w:val="FinancialsTableText"/>
              <w:jc w:val="right"/>
            </w:pPr>
            <w:r>
              <w:t>Variance</w:t>
            </w:r>
            <w:r>
              <w:br/>
            </w:r>
            <w:r w:rsidRPr="00811A18">
              <w:rPr>
                <w:b w:val="0"/>
              </w:rPr>
              <w:t>$’000</w:t>
            </w:r>
          </w:p>
        </w:tc>
      </w:tr>
      <w:tr w:rsidR="0052791F" w:rsidRPr="0052791F" w:rsidTr="0052791F">
        <w:trPr>
          <w:trHeight w:val="442"/>
        </w:trPr>
        <w:tc>
          <w:tcPr>
            <w:tcW w:w="3122" w:type="dxa"/>
            <w:vMerge/>
          </w:tcPr>
          <w:p w:rsidR="0052791F" w:rsidRPr="0052791F" w:rsidRDefault="0052791F" w:rsidP="0052791F">
            <w:pPr>
              <w:pStyle w:val="FinancialsTableText"/>
            </w:pPr>
          </w:p>
        </w:tc>
        <w:tc>
          <w:tcPr>
            <w:tcW w:w="1554" w:type="dxa"/>
          </w:tcPr>
          <w:p w:rsidR="0052791F" w:rsidRPr="0052791F" w:rsidRDefault="0052791F" w:rsidP="0052791F">
            <w:pPr>
              <w:pStyle w:val="FinancialsTableText"/>
              <w:jc w:val="right"/>
              <w:rPr>
                <w:b/>
                <w:color w:val="008A00" w:themeColor="accent2"/>
              </w:rPr>
            </w:pPr>
            <w:r w:rsidRPr="0052791F">
              <w:rPr>
                <w:b/>
                <w:color w:val="008A00" w:themeColor="accent2"/>
              </w:rPr>
              <w:t xml:space="preserve">Appropriation Act </w:t>
            </w:r>
          </w:p>
          <w:p w:rsidR="0052791F" w:rsidRPr="0052791F" w:rsidRDefault="0052791F" w:rsidP="0052791F">
            <w:pPr>
              <w:pStyle w:val="FinancialsTableText"/>
              <w:jc w:val="right"/>
              <w:rPr>
                <w:b/>
                <w:color w:val="008A00" w:themeColor="accent2"/>
              </w:rPr>
            </w:pPr>
            <w:r w:rsidRPr="0052791F">
              <w:rPr>
                <w:color w:val="008A00" w:themeColor="accent2"/>
              </w:rPr>
              <w:t>Annual capital budget</w:t>
            </w:r>
            <w:r>
              <w:rPr>
                <w:color w:val="008A00" w:themeColor="accent2"/>
              </w:rPr>
              <w:br/>
            </w:r>
            <w:r w:rsidRPr="0052791F">
              <w:rPr>
                <w:color w:val="008A00" w:themeColor="accent2"/>
              </w:rPr>
              <w:t>$’000</w:t>
            </w:r>
          </w:p>
        </w:tc>
        <w:tc>
          <w:tcPr>
            <w:tcW w:w="1567" w:type="dxa"/>
            <w:vAlign w:val="bottom"/>
          </w:tcPr>
          <w:p w:rsidR="0052791F" w:rsidRDefault="0052791F" w:rsidP="0052791F">
            <w:pPr>
              <w:pStyle w:val="FinancialsTableText"/>
              <w:jc w:val="right"/>
              <w:rPr>
                <w:b/>
                <w:color w:val="008A00" w:themeColor="accent2"/>
              </w:rPr>
            </w:pPr>
            <w:r w:rsidRPr="0052791F">
              <w:rPr>
                <w:b/>
                <w:color w:val="008A00" w:themeColor="accent2"/>
              </w:rPr>
              <w:t xml:space="preserve">PGPA </w:t>
            </w:r>
            <w:r>
              <w:rPr>
                <w:b/>
                <w:color w:val="008A00" w:themeColor="accent2"/>
              </w:rPr>
              <w:br/>
            </w:r>
            <w:r w:rsidRPr="0052791F">
              <w:rPr>
                <w:b/>
                <w:color w:val="008A00" w:themeColor="accent2"/>
              </w:rPr>
              <w:t>Act</w:t>
            </w:r>
            <w:r w:rsidR="006D66E3">
              <w:rPr>
                <w:b/>
                <w:color w:val="008A00" w:themeColor="accent2"/>
              </w:rPr>
              <w:br/>
            </w:r>
          </w:p>
          <w:p w:rsidR="0052791F" w:rsidRPr="0052791F" w:rsidRDefault="0052791F" w:rsidP="0052791F">
            <w:pPr>
              <w:pStyle w:val="FinancialsTableText"/>
              <w:jc w:val="right"/>
              <w:rPr>
                <w:b/>
                <w:color w:val="008A00" w:themeColor="accent2"/>
              </w:rPr>
            </w:pPr>
            <w:r w:rsidRPr="0052791F">
              <w:rPr>
                <w:color w:val="008A00" w:themeColor="accent2"/>
              </w:rPr>
              <w:t>Section 75</w:t>
            </w:r>
            <w:r>
              <w:rPr>
                <w:color w:val="008A00" w:themeColor="accent2"/>
              </w:rPr>
              <w:br/>
            </w:r>
            <w:r w:rsidRPr="0052791F">
              <w:rPr>
                <w:color w:val="008A00" w:themeColor="accent2"/>
              </w:rPr>
              <w:t>$’000</w:t>
            </w:r>
          </w:p>
        </w:tc>
        <w:tc>
          <w:tcPr>
            <w:tcW w:w="1628" w:type="dxa"/>
            <w:vAlign w:val="bottom"/>
          </w:tcPr>
          <w:p w:rsidR="0052791F" w:rsidRPr="0052791F" w:rsidRDefault="0052791F" w:rsidP="0052791F">
            <w:pPr>
              <w:pStyle w:val="FinancialsTableText"/>
              <w:jc w:val="right"/>
              <w:rPr>
                <w:color w:val="008A00" w:themeColor="accent2"/>
              </w:rPr>
            </w:pPr>
            <w:r w:rsidRPr="0052791F">
              <w:rPr>
                <w:b/>
                <w:color w:val="008A00" w:themeColor="accent2"/>
              </w:rPr>
              <w:t>Total capital budget appropriations</w:t>
            </w:r>
            <w:r>
              <w:rPr>
                <w:b/>
                <w:color w:val="008A00" w:themeColor="accent2"/>
              </w:rPr>
              <w:br/>
            </w:r>
            <w:r w:rsidRPr="0052791F">
              <w:rPr>
                <w:color w:val="008A00" w:themeColor="accent2"/>
              </w:rPr>
              <w:t>$’000</w:t>
            </w:r>
          </w:p>
        </w:tc>
        <w:tc>
          <w:tcPr>
            <w:tcW w:w="1638" w:type="dxa"/>
            <w:vAlign w:val="bottom"/>
          </w:tcPr>
          <w:p w:rsidR="0052791F" w:rsidRPr="0052791F" w:rsidRDefault="0052791F" w:rsidP="0052791F">
            <w:pPr>
              <w:pStyle w:val="FinancialsTableText"/>
              <w:jc w:val="right"/>
              <w:rPr>
                <w:color w:val="008A00" w:themeColor="accent2"/>
              </w:rPr>
            </w:pPr>
            <w:r w:rsidRPr="0052791F">
              <w:rPr>
                <w:b/>
                <w:color w:val="008A00" w:themeColor="accent2"/>
              </w:rPr>
              <w:t>Payments for non-financial assets</w:t>
            </w:r>
            <w:r>
              <w:rPr>
                <w:b/>
                <w:color w:val="008A00" w:themeColor="accent2"/>
              </w:rPr>
              <w:br/>
            </w:r>
            <w:r w:rsidRPr="0052791F">
              <w:rPr>
                <w:color w:val="008A00" w:themeColor="accent2"/>
              </w:rPr>
              <w:t>$’000</w:t>
            </w:r>
          </w:p>
        </w:tc>
        <w:tc>
          <w:tcPr>
            <w:tcW w:w="1629" w:type="dxa"/>
            <w:gridSpan w:val="2"/>
            <w:vAlign w:val="bottom"/>
          </w:tcPr>
          <w:p w:rsidR="0052791F" w:rsidRPr="0052791F" w:rsidRDefault="0052791F" w:rsidP="0052791F">
            <w:pPr>
              <w:pStyle w:val="FinancialsTableText"/>
              <w:jc w:val="right"/>
              <w:rPr>
                <w:color w:val="008A00" w:themeColor="accent2"/>
              </w:rPr>
            </w:pPr>
            <w:r w:rsidRPr="0052791F">
              <w:rPr>
                <w:b/>
                <w:color w:val="008A00" w:themeColor="accent2"/>
              </w:rPr>
              <w:t>Payments for other purposes</w:t>
            </w:r>
            <w:r>
              <w:rPr>
                <w:b/>
                <w:color w:val="008A00" w:themeColor="accent2"/>
              </w:rPr>
              <w:br/>
            </w:r>
            <w:r w:rsidRPr="0052791F">
              <w:rPr>
                <w:color w:val="008A00" w:themeColor="accent2"/>
              </w:rPr>
              <w:t>$’000</w:t>
            </w:r>
          </w:p>
        </w:tc>
        <w:tc>
          <w:tcPr>
            <w:tcW w:w="1629" w:type="dxa"/>
            <w:vAlign w:val="bottom"/>
          </w:tcPr>
          <w:p w:rsidR="0052791F" w:rsidRPr="0052791F" w:rsidRDefault="0052791F" w:rsidP="0052791F">
            <w:pPr>
              <w:pStyle w:val="FinancialsTableText"/>
              <w:jc w:val="right"/>
              <w:rPr>
                <w:b/>
                <w:color w:val="008A00" w:themeColor="accent2"/>
              </w:rPr>
            </w:pPr>
            <w:r>
              <w:rPr>
                <w:b/>
                <w:color w:val="008A00" w:themeColor="accent2"/>
              </w:rPr>
              <w:t>Total payments</w:t>
            </w:r>
            <w:r>
              <w:rPr>
                <w:b/>
                <w:color w:val="008A00" w:themeColor="accent2"/>
              </w:rPr>
              <w:br/>
            </w:r>
            <w:r w:rsidRPr="0052791F">
              <w:rPr>
                <w:color w:val="008A00" w:themeColor="accent2"/>
              </w:rPr>
              <w:t>$’000</w:t>
            </w:r>
          </w:p>
        </w:tc>
        <w:tc>
          <w:tcPr>
            <w:tcW w:w="1649" w:type="dxa"/>
            <w:vMerge/>
          </w:tcPr>
          <w:p w:rsidR="0052791F" w:rsidRPr="0052791F" w:rsidRDefault="0052791F" w:rsidP="0052791F">
            <w:pPr>
              <w:pStyle w:val="FinancialsTableText"/>
            </w:pPr>
          </w:p>
        </w:tc>
      </w:tr>
      <w:tr w:rsidR="0052791F" w:rsidRPr="0052791F" w:rsidTr="0052791F">
        <w:trPr>
          <w:trHeight w:val="60"/>
        </w:trPr>
        <w:tc>
          <w:tcPr>
            <w:tcW w:w="14416" w:type="dxa"/>
            <w:gridSpan w:val="9"/>
          </w:tcPr>
          <w:p w:rsidR="0052791F" w:rsidRPr="0052791F" w:rsidRDefault="0052791F" w:rsidP="006D66E3">
            <w:pPr>
              <w:pStyle w:val="FinancialsTableH2"/>
            </w:pPr>
            <w:r w:rsidRPr="0052791F">
              <w:t>Departmental</w:t>
            </w:r>
          </w:p>
        </w:tc>
      </w:tr>
      <w:tr w:rsidR="0052791F" w:rsidRPr="0052791F" w:rsidTr="0052791F">
        <w:trPr>
          <w:trHeight w:val="60"/>
        </w:trPr>
        <w:tc>
          <w:tcPr>
            <w:tcW w:w="3122" w:type="dxa"/>
          </w:tcPr>
          <w:p w:rsidR="0052791F" w:rsidRPr="0052791F" w:rsidRDefault="0052791F" w:rsidP="0052791F">
            <w:pPr>
              <w:pStyle w:val="FinancialsTableText"/>
            </w:pPr>
            <w:r w:rsidRPr="0052791F">
              <w:t>Ordinary annual services – Departmental Budget</w:t>
            </w:r>
          </w:p>
        </w:tc>
        <w:tc>
          <w:tcPr>
            <w:tcW w:w="1554" w:type="dxa"/>
          </w:tcPr>
          <w:p w:rsidR="0052791F" w:rsidRPr="0052791F" w:rsidRDefault="0052791F" w:rsidP="006D66E3">
            <w:pPr>
              <w:pStyle w:val="FinancialsTableText"/>
              <w:jc w:val="right"/>
            </w:pPr>
            <w:r w:rsidRPr="0052791F">
              <w:t xml:space="preserve"> – </w:t>
            </w:r>
          </w:p>
        </w:tc>
        <w:tc>
          <w:tcPr>
            <w:tcW w:w="1567" w:type="dxa"/>
          </w:tcPr>
          <w:p w:rsidR="0052791F" w:rsidRPr="0052791F" w:rsidRDefault="0052791F" w:rsidP="006D66E3">
            <w:pPr>
              <w:pStyle w:val="FinancialsTableText"/>
              <w:jc w:val="right"/>
            </w:pPr>
            <w:r w:rsidRPr="0052791F">
              <w:t xml:space="preserve"> – </w:t>
            </w:r>
          </w:p>
        </w:tc>
        <w:tc>
          <w:tcPr>
            <w:tcW w:w="1628" w:type="dxa"/>
          </w:tcPr>
          <w:p w:rsidR="0052791F" w:rsidRPr="0052791F" w:rsidRDefault="0052791F" w:rsidP="006D66E3">
            <w:pPr>
              <w:pStyle w:val="FinancialsTableText"/>
              <w:jc w:val="right"/>
            </w:pPr>
            <w:r w:rsidRPr="0052791F">
              <w:t xml:space="preserve"> – </w:t>
            </w:r>
          </w:p>
        </w:tc>
        <w:tc>
          <w:tcPr>
            <w:tcW w:w="1638" w:type="dxa"/>
          </w:tcPr>
          <w:p w:rsidR="0052791F" w:rsidRPr="0052791F" w:rsidRDefault="0052791F" w:rsidP="006D66E3">
            <w:pPr>
              <w:pStyle w:val="FinancialsTableText"/>
              <w:jc w:val="right"/>
            </w:pPr>
            <w:r w:rsidRPr="0052791F">
              <w:t xml:space="preserve"> – </w:t>
            </w:r>
          </w:p>
        </w:tc>
        <w:tc>
          <w:tcPr>
            <w:tcW w:w="1610" w:type="dxa"/>
          </w:tcPr>
          <w:p w:rsidR="0052791F" w:rsidRPr="0052791F" w:rsidRDefault="0052791F" w:rsidP="006D66E3">
            <w:pPr>
              <w:pStyle w:val="FinancialsTableText"/>
              <w:jc w:val="right"/>
            </w:pPr>
            <w:r w:rsidRPr="0052791F">
              <w:t xml:space="preserve"> – </w:t>
            </w:r>
          </w:p>
        </w:tc>
        <w:tc>
          <w:tcPr>
            <w:tcW w:w="1648" w:type="dxa"/>
            <w:gridSpan w:val="2"/>
          </w:tcPr>
          <w:p w:rsidR="0052791F" w:rsidRPr="0052791F" w:rsidRDefault="0052791F" w:rsidP="006D66E3">
            <w:pPr>
              <w:pStyle w:val="FinancialsTableText"/>
              <w:jc w:val="right"/>
            </w:pPr>
            <w:r w:rsidRPr="0052791F">
              <w:t xml:space="preserve"> – </w:t>
            </w:r>
          </w:p>
        </w:tc>
        <w:tc>
          <w:tcPr>
            <w:tcW w:w="1649" w:type="dxa"/>
          </w:tcPr>
          <w:p w:rsidR="0052791F" w:rsidRPr="0052791F" w:rsidRDefault="0052791F" w:rsidP="006D66E3">
            <w:pPr>
              <w:pStyle w:val="FinancialsTableText"/>
              <w:jc w:val="right"/>
            </w:pPr>
            <w:r w:rsidRPr="0052791F">
              <w:t xml:space="preserve"> – </w:t>
            </w:r>
          </w:p>
        </w:tc>
      </w:tr>
    </w:tbl>
    <w:p w:rsidR="00F50D01" w:rsidRDefault="00F50D01" w:rsidP="00F50D01">
      <w:pPr>
        <w:pStyle w:val="FinancialsTableH1"/>
        <w:spacing w:before="360"/>
      </w:pPr>
      <w:r>
        <w:t>Note 15B Departmental and administered capital budgets (‘Recoverable GST exclusive’)</w:t>
      </w:r>
    </w:p>
    <w:p w:rsidR="0052791F" w:rsidRDefault="00F50D01" w:rsidP="00F50D01">
      <w:pPr>
        <w:spacing w:before="0"/>
      </w:pPr>
      <w:r>
        <w:t>Annual capital appropriations for 201</w:t>
      </w:r>
      <w:r w:rsidR="00030705">
        <w:t>4</w:t>
      </w:r>
    </w:p>
    <w:tbl>
      <w:tblPr>
        <w:tblStyle w:val="DefaultTable"/>
        <w:tblW w:w="0" w:type="auto"/>
        <w:tblBorders>
          <w:top w:val="single" w:sz="4" w:space="0" w:color="auto"/>
          <w:insideH w:val="single" w:sz="4" w:space="0" w:color="auto"/>
        </w:tblBorders>
        <w:tblLayout w:type="fixed"/>
        <w:tblLook w:val="0220" w:firstRow="1" w:lastRow="0" w:firstColumn="0" w:lastColumn="0" w:noHBand="1" w:noVBand="0"/>
        <w:tblDescription w:val="Annual Appropriations for 2014"/>
      </w:tblPr>
      <w:tblGrid>
        <w:gridCol w:w="3122"/>
        <w:gridCol w:w="1554"/>
        <w:gridCol w:w="1567"/>
        <w:gridCol w:w="1628"/>
        <w:gridCol w:w="1638"/>
        <w:gridCol w:w="1610"/>
        <w:gridCol w:w="19"/>
        <w:gridCol w:w="1629"/>
        <w:gridCol w:w="1649"/>
      </w:tblGrid>
      <w:tr w:rsidR="00811A18" w:rsidRPr="0052791F" w:rsidTr="00E041F0">
        <w:trPr>
          <w:cnfStyle w:val="100000000000" w:firstRow="1" w:lastRow="0" w:firstColumn="0" w:lastColumn="0" w:oddVBand="0" w:evenVBand="0" w:oddHBand="0" w:evenHBand="0" w:firstRowFirstColumn="0" w:firstRowLastColumn="0" w:lastRowFirstColumn="0" w:lastRowLastColumn="0"/>
          <w:trHeight w:val="252"/>
        </w:trPr>
        <w:tc>
          <w:tcPr>
            <w:tcW w:w="3122" w:type="dxa"/>
            <w:vMerge w:val="restart"/>
          </w:tcPr>
          <w:p w:rsidR="00811A18" w:rsidRPr="0052791F" w:rsidRDefault="00811A18" w:rsidP="00E041F0">
            <w:pPr>
              <w:pStyle w:val="FinancialsTableText"/>
            </w:pPr>
          </w:p>
        </w:tc>
        <w:tc>
          <w:tcPr>
            <w:tcW w:w="3121" w:type="dxa"/>
            <w:gridSpan w:val="2"/>
          </w:tcPr>
          <w:p w:rsidR="00811A18" w:rsidRPr="0052791F" w:rsidRDefault="00811A18" w:rsidP="00030705">
            <w:pPr>
              <w:pStyle w:val="FinancialsTableText"/>
              <w:jc w:val="center"/>
            </w:pPr>
            <w:r w:rsidRPr="0052791F">
              <w:t>201</w:t>
            </w:r>
            <w:r w:rsidR="00030705">
              <w:t>4</w:t>
            </w:r>
            <w:r w:rsidRPr="0052791F">
              <w:t xml:space="preserve"> capital budget appropriation</w:t>
            </w:r>
          </w:p>
        </w:tc>
        <w:tc>
          <w:tcPr>
            <w:tcW w:w="6524" w:type="dxa"/>
            <w:gridSpan w:val="5"/>
          </w:tcPr>
          <w:p w:rsidR="00811A18" w:rsidRPr="0052791F" w:rsidRDefault="00811A18" w:rsidP="00811A18">
            <w:pPr>
              <w:pStyle w:val="FinancialsTableText"/>
              <w:jc w:val="center"/>
            </w:pPr>
            <w:r w:rsidRPr="0052791F">
              <w:t>Capital budget appropriations applied in 201</w:t>
            </w:r>
            <w:r>
              <w:t>4</w:t>
            </w:r>
            <w:r w:rsidRPr="0052791F">
              <w:t xml:space="preserve"> </w:t>
            </w:r>
            <w:r>
              <w:br/>
            </w:r>
            <w:r w:rsidRPr="0052791F">
              <w:rPr>
                <w:b w:val="0"/>
              </w:rPr>
              <w:t>(current and prior years)</w:t>
            </w:r>
          </w:p>
        </w:tc>
        <w:tc>
          <w:tcPr>
            <w:tcW w:w="1649" w:type="dxa"/>
            <w:vMerge w:val="restart"/>
          </w:tcPr>
          <w:p w:rsidR="00811A18" w:rsidRPr="0052791F" w:rsidRDefault="00811A18" w:rsidP="00811A18">
            <w:pPr>
              <w:pStyle w:val="FinancialsTableText"/>
              <w:jc w:val="right"/>
            </w:pPr>
            <w:r>
              <w:t>Variance</w:t>
            </w:r>
            <w:r>
              <w:br/>
            </w:r>
            <w:r w:rsidRPr="00811A18">
              <w:rPr>
                <w:b w:val="0"/>
              </w:rPr>
              <w:t>$’000</w:t>
            </w:r>
          </w:p>
        </w:tc>
      </w:tr>
      <w:tr w:rsidR="00811A18" w:rsidRPr="0052791F" w:rsidTr="00E041F0">
        <w:trPr>
          <w:trHeight w:val="442"/>
        </w:trPr>
        <w:tc>
          <w:tcPr>
            <w:tcW w:w="3122" w:type="dxa"/>
            <w:vMerge/>
          </w:tcPr>
          <w:p w:rsidR="00811A18" w:rsidRPr="0052791F" w:rsidRDefault="00811A18" w:rsidP="00E041F0">
            <w:pPr>
              <w:pStyle w:val="FinancialsTableText"/>
            </w:pPr>
          </w:p>
        </w:tc>
        <w:tc>
          <w:tcPr>
            <w:tcW w:w="1554" w:type="dxa"/>
          </w:tcPr>
          <w:p w:rsidR="00811A18" w:rsidRPr="0052791F" w:rsidRDefault="00811A18" w:rsidP="00E041F0">
            <w:pPr>
              <w:pStyle w:val="FinancialsTableText"/>
              <w:jc w:val="right"/>
              <w:rPr>
                <w:b/>
                <w:color w:val="008A00" w:themeColor="accent2"/>
              </w:rPr>
            </w:pPr>
            <w:r w:rsidRPr="0052791F">
              <w:rPr>
                <w:b/>
                <w:color w:val="008A00" w:themeColor="accent2"/>
              </w:rPr>
              <w:t xml:space="preserve">Appropriation Act </w:t>
            </w:r>
          </w:p>
          <w:p w:rsidR="00811A18" w:rsidRPr="0052791F" w:rsidRDefault="00811A18" w:rsidP="00E041F0">
            <w:pPr>
              <w:pStyle w:val="FinancialsTableText"/>
              <w:jc w:val="right"/>
              <w:rPr>
                <w:b/>
                <w:color w:val="008A00" w:themeColor="accent2"/>
              </w:rPr>
            </w:pPr>
            <w:r w:rsidRPr="0052791F">
              <w:rPr>
                <w:color w:val="008A00" w:themeColor="accent2"/>
              </w:rPr>
              <w:t>Annual capital budget</w:t>
            </w:r>
            <w:r>
              <w:rPr>
                <w:color w:val="008A00" w:themeColor="accent2"/>
              </w:rPr>
              <w:br/>
            </w:r>
            <w:r w:rsidRPr="0052791F">
              <w:rPr>
                <w:color w:val="008A00" w:themeColor="accent2"/>
              </w:rPr>
              <w:t>$’000</w:t>
            </w:r>
          </w:p>
        </w:tc>
        <w:tc>
          <w:tcPr>
            <w:tcW w:w="1567" w:type="dxa"/>
            <w:vAlign w:val="bottom"/>
          </w:tcPr>
          <w:p w:rsidR="00811A18" w:rsidRDefault="00811A18" w:rsidP="00E041F0">
            <w:pPr>
              <w:pStyle w:val="FinancialsTableText"/>
              <w:jc w:val="right"/>
              <w:rPr>
                <w:b/>
                <w:color w:val="008A00" w:themeColor="accent2"/>
              </w:rPr>
            </w:pPr>
            <w:r w:rsidRPr="0052791F">
              <w:rPr>
                <w:b/>
                <w:color w:val="008A00" w:themeColor="accent2"/>
              </w:rPr>
              <w:t xml:space="preserve">PGPA </w:t>
            </w:r>
            <w:r>
              <w:rPr>
                <w:b/>
                <w:color w:val="008A00" w:themeColor="accent2"/>
              </w:rPr>
              <w:br/>
            </w:r>
            <w:r w:rsidRPr="0052791F">
              <w:rPr>
                <w:b/>
                <w:color w:val="008A00" w:themeColor="accent2"/>
              </w:rPr>
              <w:t>Act</w:t>
            </w:r>
            <w:r>
              <w:rPr>
                <w:b/>
                <w:color w:val="008A00" w:themeColor="accent2"/>
              </w:rPr>
              <w:br/>
            </w:r>
          </w:p>
          <w:p w:rsidR="00811A18" w:rsidRPr="0052791F" w:rsidRDefault="00811A18" w:rsidP="00E041F0">
            <w:pPr>
              <w:pStyle w:val="FinancialsTableText"/>
              <w:jc w:val="right"/>
              <w:rPr>
                <w:b/>
                <w:color w:val="008A00" w:themeColor="accent2"/>
              </w:rPr>
            </w:pPr>
            <w:r w:rsidRPr="0052791F">
              <w:rPr>
                <w:color w:val="008A00" w:themeColor="accent2"/>
              </w:rPr>
              <w:t>Section 75</w:t>
            </w:r>
            <w:r>
              <w:rPr>
                <w:color w:val="008A00" w:themeColor="accent2"/>
              </w:rPr>
              <w:br/>
            </w:r>
            <w:r w:rsidRPr="0052791F">
              <w:rPr>
                <w:color w:val="008A00" w:themeColor="accent2"/>
              </w:rPr>
              <w:t>$’000</w:t>
            </w:r>
          </w:p>
        </w:tc>
        <w:tc>
          <w:tcPr>
            <w:tcW w:w="1628" w:type="dxa"/>
            <w:vAlign w:val="bottom"/>
          </w:tcPr>
          <w:p w:rsidR="00811A18" w:rsidRPr="0052791F" w:rsidRDefault="00811A18" w:rsidP="00E041F0">
            <w:pPr>
              <w:pStyle w:val="FinancialsTableText"/>
              <w:jc w:val="right"/>
              <w:rPr>
                <w:color w:val="008A00" w:themeColor="accent2"/>
              </w:rPr>
            </w:pPr>
            <w:r w:rsidRPr="0052791F">
              <w:rPr>
                <w:b/>
                <w:color w:val="008A00" w:themeColor="accent2"/>
              </w:rPr>
              <w:t>Total capital budget appropriations</w:t>
            </w:r>
            <w:r>
              <w:rPr>
                <w:b/>
                <w:color w:val="008A00" w:themeColor="accent2"/>
              </w:rPr>
              <w:br/>
            </w:r>
            <w:r w:rsidRPr="0052791F">
              <w:rPr>
                <w:color w:val="008A00" w:themeColor="accent2"/>
              </w:rPr>
              <w:t>$’000</w:t>
            </w:r>
          </w:p>
        </w:tc>
        <w:tc>
          <w:tcPr>
            <w:tcW w:w="1638" w:type="dxa"/>
            <w:vAlign w:val="bottom"/>
          </w:tcPr>
          <w:p w:rsidR="00811A18" w:rsidRPr="0052791F" w:rsidRDefault="00811A18" w:rsidP="00E041F0">
            <w:pPr>
              <w:pStyle w:val="FinancialsTableText"/>
              <w:jc w:val="right"/>
              <w:rPr>
                <w:color w:val="008A00" w:themeColor="accent2"/>
              </w:rPr>
            </w:pPr>
            <w:r w:rsidRPr="0052791F">
              <w:rPr>
                <w:b/>
                <w:color w:val="008A00" w:themeColor="accent2"/>
              </w:rPr>
              <w:t>Payments for non-financial assets</w:t>
            </w:r>
            <w:r>
              <w:rPr>
                <w:b/>
                <w:color w:val="008A00" w:themeColor="accent2"/>
              </w:rPr>
              <w:br/>
            </w:r>
            <w:r w:rsidRPr="0052791F">
              <w:rPr>
                <w:color w:val="008A00" w:themeColor="accent2"/>
              </w:rPr>
              <w:t>$’000</w:t>
            </w:r>
          </w:p>
        </w:tc>
        <w:tc>
          <w:tcPr>
            <w:tcW w:w="1629" w:type="dxa"/>
            <w:gridSpan w:val="2"/>
            <w:vAlign w:val="bottom"/>
          </w:tcPr>
          <w:p w:rsidR="00811A18" w:rsidRPr="0052791F" w:rsidRDefault="00811A18" w:rsidP="00E041F0">
            <w:pPr>
              <w:pStyle w:val="FinancialsTableText"/>
              <w:jc w:val="right"/>
              <w:rPr>
                <w:color w:val="008A00" w:themeColor="accent2"/>
              </w:rPr>
            </w:pPr>
            <w:r w:rsidRPr="0052791F">
              <w:rPr>
                <w:b/>
                <w:color w:val="008A00" w:themeColor="accent2"/>
              </w:rPr>
              <w:t>Payments for other purposes</w:t>
            </w:r>
            <w:r>
              <w:rPr>
                <w:b/>
                <w:color w:val="008A00" w:themeColor="accent2"/>
              </w:rPr>
              <w:br/>
            </w:r>
            <w:r w:rsidRPr="0052791F">
              <w:rPr>
                <w:color w:val="008A00" w:themeColor="accent2"/>
              </w:rPr>
              <w:t>$’000</w:t>
            </w:r>
          </w:p>
        </w:tc>
        <w:tc>
          <w:tcPr>
            <w:tcW w:w="1629" w:type="dxa"/>
            <w:vAlign w:val="bottom"/>
          </w:tcPr>
          <w:p w:rsidR="00811A18" w:rsidRPr="0052791F" w:rsidRDefault="00811A18" w:rsidP="00E041F0">
            <w:pPr>
              <w:pStyle w:val="FinancialsTableText"/>
              <w:jc w:val="right"/>
              <w:rPr>
                <w:b/>
                <w:color w:val="008A00" w:themeColor="accent2"/>
              </w:rPr>
            </w:pPr>
            <w:r>
              <w:rPr>
                <w:b/>
                <w:color w:val="008A00" w:themeColor="accent2"/>
              </w:rPr>
              <w:t>Total payments</w:t>
            </w:r>
            <w:r>
              <w:rPr>
                <w:b/>
                <w:color w:val="008A00" w:themeColor="accent2"/>
              </w:rPr>
              <w:br/>
            </w:r>
            <w:r w:rsidRPr="0052791F">
              <w:rPr>
                <w:color w:val="008A00" w:themeColor="accent2"/>
              </w:rPr>
              <w:t>$’000</w:t>
            </w:r>
          </w:p>
        </w:tc>
        <w:tc>
          <w:tcPr>
            <w:tcW w:w="1649" w:type="dxa"/>
            <w:vMerge/>
          </w:tcPr>
          <w:p w:rsidR="00811A18" w:rsidRPr="0052791F" w:rsidRDefault="00811A18" w:rsidP="00E041F0">
            <w:pPr>
              <w:pStyle w:val="FinancialsTableText"/>
            </w:pPr>
          </w:p>
        </w:tc>
      </w:tr>
      <w:tr w:rsidR="00811A18" w:rsidRPr="0052791F" w:rsidTr="00E041F0">
        <w:trPr>
          <w:trHeight w:val="60"/>
        </w:trPr>
        <w:tc>
          <w:tcPr>
            <w:tcW w:w="14416" w:type="dxa"/>
            <w:gridSpan w:val="9"/>
          </w:tcPr>
          <w:p w:rsidR="00811A18" w:rsidRPr="0052791F" w:rsidRDefault="00811A18" w:rsidP="00E041F0">
            <w:pPr>
              <w:pStyle w:val="FinancialsTableH2"/>
            </w:pPr>
            <w:r w:rsidRPr="0052791F">
              <w:t>Departmental</w:t>
            </w:r>
          </w:p>
        </w:tc>
      </w:tr>
      <w:tr w:rsidR="00811A18" w:rsidRPr="0052791F" w:rsidTr="00E041F0">
        <w:trPr>
          <w:trHeight w:val="60"/>
        </w:trPr>
        <w:tc>
          <w:tcPr>
            <w:tcW w:w="3122" w:type="dxa"/>
          </w:tcPr>
          <w:p w:rsidR="00811A18" w:rsidRPr="0052791F" w:rsidRDefault="00811A18" w:rsidP="00E041F0">
            <w:pPr>
              <w:pStyle w:val="FinancialsTableText"/>
            </w:pPr>
            <w:r w:rsidRPr="0052791F">
              <w:t>Ordinary annual services – Departmental Budget</w:t>
            </w:r>
          </w:p>
        </w:tc>
        <w:tc>
          <w:tcPr>
            <w:tcW w:w="1554" w:type="dxa"/>
          </w:tcPr>
          <w:p w:rsidR="00811A18" w:rsidRPr="0052791F" w:rsidRDefault="00811A18" w:rsidP="00E041F0">
            <w:pPr>
              <w:pStyle w:val="FinancialsTableText"/>
              <w:jc w:val="right"/>
            </w:pPr>
            <w:r>
              <w:t>200</w:t>
            </w:r>
          </w:p>
        </w:tc>
        <w:tc>
          <w:tcPr>
            <w:tcW w:w="1567" w:type="dxa"/>
          </w:tcPr>
          <w:p w:rsidR="00811A18" w:rsidRPr="0052791F" w:rsidRDefault="00811A18" w:rsidP="00E041F0">
            <w:pPr>
              <w:pStyle w:val="FinancialsTableText"/>
              <w:jc w:val="right"/>
            </w:pPr>
            <w:r w:rsidRPr="0052791F">
              <w:t xml:space="preserve"> – </w:t>
            </w:r>
          </w:p>
        </w:tc>
        <w:tc>
          <w:tcPr>
            <w:tcW w:w="1628" w:type="dxa"/>
          </w:tcPr>
          <w:p w:rsidR="00811A18" w:rsidRPr="0052791F" w:rsidRDefault="00811A18" w:rsidP="00E041F0">
            <w:pPr>
              <w:pStyle w:val="FinancialsTableText"/>
              <w:jc w:val="right"/>
            </w:pPr>
            <w:r>
              <w:t>200</w:t>
            </w:r>
          </w:p>
        </w:tc>
        <w:tc>
          <w:tcPr>
            <w:tcW w:w="1638" w:type="dxa"/>
          </w:tcPr>
          <w:p w:rsidR="00811A18" w:rsidRPr="0052791F" w:rsidRDefault="00811A18" w:rsidP="00E041F0">
            <w:pPr>
              <w:pStyle w:val="FinancialsTableText"/>
              <w:jc w:val="right"/>
            </w:pPr>
            <w:r>
              <w:t>200</w:t>
            </w:r>
          </w:p>
        </w:tc>
        <w:tc>
          <w:tcPr>
            <w:tcW w:w="1610" w:type="dxa"/>
          </w:tcPr>
          <w:p w:rsidR="00811A18" w:rsidRPr="0052791F" w:rsidRDefault="00811A18" w:rsidP="00E041F0">
            <w:pPr>
              <w:pStyle w:val="FinancialsTableText"/>
              <w:jc w:val="right"/>
            </w:pPr>
            <w:r w:rsidRPr="0052791F">
              <w:t xml:space="preserve"> – </w:t>
            </w:r>
          </w:p>
        </w:tc>
        <w:tc>
          <w:tcPr>
            <w:tcW w:w="1648" w:type="dxa"/>
            <w:gridSpan w:val="2"/>
          </w:tcPr>
          <w:p w:rsidR="00811A18" w:rsidRPr="0052791F" w:rsidRDefault="00811A18" w:rsidP="00E041F0">
            <w:pPr>
              <w:pStyle w:val="FinancialsTableText"/>
              <w:jc w:val="right"/>
            </w:pPr>
            <w:r>
              <w:t>200</w:t>
            </w:r>
          </w:p>
        </w:tc>
        <w:tc>
          <w:tcPr>
            <w:tcW w:w="1649" w:type="dxa"/>
          </w:tcPr>
          <w:p w:rsidR="00811A18" w:rsidRPr="0052791F" w:rsidRDefault="00811A18" w:rsidP="00E041F0">
            <w:pPr>
              <w:pStyle w:val="FinancialsTableText"/>
              <w:jc w:val="right"/>
            </w:pPr>
            <w:r w:rsidRPr="0052791F">
              <w:t xml:space="preserve"> – </w:t>
            </w:r>
          </w:p>
        </w:tc>
      </w:tr>
      <w:tr w:rsidR="00811A18" w:rsidRPr="0052791F" w:rsidTr="00E041F0">
        <w:trPr>
          <w:trHeight w:val="60"/>
        </w:trPr>
        <w:tc>
          <w:tcPr>
            <w:tcW w:w="14416" w:type="dxa"/>
            <w:gridSpan w:val="9"/>
          </w:tcPr>
          <w:p w:rsidR="00811A18" w:rsidRPr="0052791F" w:rsidRDefault="00811A18" w:rsidP="00E041F0">
            <w:pPr>
              <w:pStyle w:val="FinancialsTableH2"/>
            </w:pPr>
            <w:r>
              <w:t>Administered</w:t>
            </w:r>
          </w:p>
        </w:tc>
      </w:tr>
      <w:tr w:rsidR="00811A18" w:rsidRPr="0052791F" w:rsidTr="00E041F0">
        <w:trPr>
          <w:trHeight w:val="60"/>
        </w:trPr>
        <w:tc>
          <w:tcPr>
            <w:tcW w:w="3122" w:type="dxa"/>
          </w:tcPr>
          <w:p w:rsidR="00811A18" w:rsidRPr="0052791F" w:rsidRDefault="00811A18" w:rsidP="00E041F0">
            <w:pPr>
              <w:pStyle w:val="FinancialsTableText"/>
            </w:pPr>
            <w:r w:rsidRPr="0052791F">
              <w:t xml:space="preserve">Ordinary annual services – </w:t>
            </w:r>
            <w:r w:rsidRPr="00811A18">
              <w:t xml:space="preserve">Administered </w:t>
            </w:r>
            <w:r w:rsidRPr="0052791F">
              <w:t>Budget</w:t>
            </w:r>
          </w:p>
        </w:tc>
        <w:tc>
          <w:tcPr>
            <w:tcW w:w="1554" w:type="dxa"/>
          </w:tcPr>
          <w:p w:rsidR="00811A18" w:rsidRPr="0052791F" w:rsidRDefault="00811A18" w:rsidP="00E041F0">
            <w:pPr>
              <w:pStyle w:val="FinancialsTableText"/>
              <w:jc w:val="right"/>
            </w:pPr>
            <w:r w:rsidRPr="0052791F">
              <w:t xml:space="preserve"> – </w:t>
            </w:r>
          </w:p>
        </w:tc>
        <w:tc>
          <w:tcPr>
            <w:tcW w:w="1567" w:type="dxa"/>
          </w:tcPr>
          <w:p w:rsidR="00811A18" w:rsidRPr="0052791F" w:rsidRDefault="00811A18" w:rsidP="00E041F0">
            <w:pPr>
              <w:pStyle w:val="FinancialsTableText"/>
              <w:jc w:val="right"/>
            </w:pPr>
            <w:r w:rsidRPr="0052791F">
              <w:t xml:space="preserve"> – </w:t>
            </w:r>
          </w:p>
        </w:tc>
        <w:tc>
          <w:tcPr>
            <w:tcW w:w="1628" w:type="dxa"/>
          </w:tcPr>
          <w:p w:rsidR="00811A18" w:rsidRPr="0052791F" w:rsidRDefault="00811A18" w:rsidP="00E041F0">
            <w:pPr>
              <w:pStyle w:val="FinancialsTableText"/>
              <w:jc w:val="right"/>
            </w:pPr>
            <w:r w:rsidRPr="0052791F">
              <w:t xml:space="preserve"> – </w:t>
            </w:r>
          </w:p>
        </w:tc>
        <w:tc>
          <w:tcPr>
            <w:tcW w:w="1638" w:type="dxa"/>
          </w:tcPr>
          <w:p w:rsidR="00811A18" w:rsidRPr="0052791F" w:rsidRDefault="00811A18" w:rsidP="00E041F0">
            <w:pPr>
              <w:pStyle w:val="FinancialsTableText"/>
              <w:jc w:val="right"/>
            </w:pPr>
            <w:r w:rsidRPr="0052791F">
              <w:t xml:space="preserve"> – </w:t>
            </w:r>
          </w:p>
        </w:tc>
        <w:tc>
          <w:tcPr>
            <w:tcW w:w="1610" w:type="dxa"/>
          </w:tcPr>
          <w:p w:rsidR="00811A18" w:rsidRPr="0052791F" w:rsidRDefault="00811A18" w:rsidP="00E041F0">
            <w:pPr>
              <w:pStyle w:val="FinancialsTableText"/>
              <w:jc w:val="right"/>
            </w:pPr>
            <w:r w:rsidRPr="0052791F">
              <w:t xml:space="preserve"> – </w:t>
            </w:r>
          </w:p>
        </w:tc>
        <w:tc>
          <w:tcPr>
            <w:tcW w:w="1648" w:type="dxa"/>
            <w:gridSpan w:val="2"/>
          </w:tcPr>
          <w:p w:rsidR="00811A18" w:rsidRPr="0052791F" w:rsidRDefault="00811A18" w:rsidP="00E041F0">
            <w:pPr>
              <w:pStyle w:val="FinancialsTableText"/>
              <w:jc w:val="right"/>
            </w:pPr>
            <w:r w:rsidRPr="0052791F">
              <w:t xml:space="preserve"> – </w:t>
            </w:r>
          </w:p>
        </w:tc>
        <w:tc>
          <w:tcPr>
            <w:tcW w:w="1649" w:type="dxa"/>
          </w:tcPr>
          <w:p w:rsidR="00811A18" w:rsidRPr="0052791F" w:rsidRDefault="00811A18" w:rsidP="00E041F0">
            <w:pPr>
              <w:pStyle w:val="FinancialsTableText"/>
              <w:jc w:val="right"/>
            </w:pPr>
            <w:r w:rsidRPr="0052791F">
              <w:t xml:space="preserve"> – </w:t>
            </w:r>
          </w:p>
        </w:tc>
      </w:tr>
    </w:tbl>
    <w:p w:rsidR="00F56BC1" w:rsidRPr="00F56BC1" w:rsidRDefault="00F56BC1" w:rsidP="00F56BC1"/>
    <w:p w:rsidR="00F56BC1" w:rsidRDefault="00F56BC1" w:rsidP="00F56BC1"/>
    <w:p w:rsidR="00F56BC1" w:rsidRDefault="00F56BC1" w:rsidP="001A2D78">
      <w:pPr>
        <w:sectPr w:rsidR="00F56BC1" w:rsidSect="00F56BC1">
          <w:headerReference w:type="default" r:id="rId41"/>
          <w:pgSz w:w="16838" w:h="11906" w:orient="landscape" w:code="9"/>
          <w:pgMar w:top="1021" w:right="1588" w:bottom="1021" w:left="851" w:header="567" w:footer="510" w:gutter="0"/>
          <w:cols w:space="708"/>
          <w:docGrid w:linePitch="360"/>
        </w:sectPr>
      </w:pPr>
    </w:p>
    <w:p w:rsidR="00F56BC1" w:rsidRDefault="00254DE9" w:rsidP="00F50D01">
      <w:pPr>
        <w:pStyle w:val="FinancialsTableH1"/>
      </w:pPr>
      <w:r w:rsidRPr="00254DE9">
        <w:t>Note 15C Unspent appropriations (‘Recoverable GST exclusive’)</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UNSPENT APPROPRIATIONS (‘RECOVERABLE GST EXCLUSIVE’)"/>
      </w:tblPr>
      <w:tblGrid>
        <w:gridCol w:w="6551"/>
        <w:gridCol w:w="1671"/>
        <w:gridCol w:w="1619"/>
      </w:tblGrid>
      <w:tr w:rsidR="00254DE9" w:rsidRPr="00254DE9" w:rsidTr="00254DE9">
        <w:trPr>
          <w:cnfStyle w:val="100000000000" w:firstRow="1" w:lastRow="0" w:firstColumn="0" w:lastColumn="0" w:oddVBand="0" w:evenVBand="0" w:oddHBand="0" w:evenHBand="0" w:firstRowFirstColumn="0" w:firstRowLastColumn="0" w:lastRowFirstColumn="0" w:lastRowLastColumn="0"/>
          <w:trHeight w:val="60"/>
        </w:trPr>
        <w:tc>
          <w:tcPr>
            <w:tcW w:w="6551" w:type="dxa"/>
          </w:tcPr>
          <w:p w:rsidR="00254DE9" w:rsidRPr="00254DE9" w:rsidRDefault="00254DE9" w:rsidP="00254DE9">
            <w:pPr>
              <w:pStyle w:val="FinancialsTableText"/>
            </w:pPr>
          </w:p>
        </w:tc>
        <w:tc>
          <w:tcPr>
            <w:tcW w:w="1671" w:type="dxa"/>
          </w:tcPr>
          <w:p w:rsidR="00254DE9" w:rsidRPr="00254DE9" w:rsidRDefault="00254DE9" w:rsidP="00254DE9">
            <w:pPr>
              <w:pStyle w:val="FinancialsTableText"/>
              <w:jc w:val="right"/>
            </w:pPr>
            <w:r w:rsidRPr="00254DE9">
              <w:t>2015</w:t>
            </w:r>
            <w:r>
              <w:br/>
            </w:r>
            <w:r w:rsidRPr="00254DE9">
              <w:rPr>
                <w:b w:val="0"/>
              </w:rPr>
              <w:t>$’000</w:t>
            </w:r>
          </w:p>
        </w:tc>
        <w:tc>
          <w:tcPr>
            <w:tcW w:w="1619" w:type="dxa"/>
          </w:tcPr>
          <w:p w:rsidR="00254DE9" w:rsidRPr="00254DE9" w:rsidRDefault="00254DE9" w:rsidP="00254DE9">
            <w:pPr>
              <w:pStyle w:val="FinancialsTableText"/>
              <w:jc w:val="right"/>
            </w:pPr>
            <w:r>
              <w:t>2014</w:t>
            </w:r>
            <w:r>
              <w:br/>
            </w:r>
            <w:r w:rsidRPr="00254DE9">
              <w:rPr>
                <w:b w:val="0"/>
              </w:rPr>
              <w:t>$’000</w:t>
            </w:r>
          </w:p>
        </w:tc>
      </w:tr>
      <w:tr w:rsidR="00254DE9" w:rsidRPr="00254DE9" w:rsidTr="00254DE9">
        <w:trPr>
          <w:trHeight w:val="60"/>
        </w:trPr>
        <w:tc>
          <w:tcPr>
            <w:tcW w:w="8222" w:type="dxa"/>
            <w:gridSpan w:val="2"/>
          </w:tcPr>
          <w:p w:rsidR="00254DE9" w:rsidRPr="00254DE9" w:rsidRDefault="00254DE9" w:rsidP="00254DE9">
            <w:pPr>
              <w:pStyle w:val="FinancialsTableH2"/>
            </w:pPr>
            <w:r w:rsidRPr="00254DE9">
              <w:t>Departmental</w:t>
            </w:r>
          </w:p>
        </w:tc>
        <w:tc>
          <w:tcPr>
            <w:tcW w:w="1619" w:type="dxa"/>
          </w:tcPr>
          <w:p w:rsidR="00254DE9" w:rsidRPr="00254DE9" w:rsidRDefault="00254DE9" w:rsidP="00254DE9">
            <w:pPr>
              <w:pStyle w:val="FinancialsTableText"/>
              <w:jc w:val="right"/>
            </w:pP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2011-12</w:t>
            </w:r>
          </w:p>
        </w:tc>
        <w:tc>
          <w:tcPr>
            <w:tcW w:w="1671" w:type="dxa"/>
          </w:tcPr>
          <w:p w:rsidR="00254DE9" w:rsidRPr="00254DE9" w:rsidRDefault="00254DE9" w:rsidP="00254DE9">
            <w:pPr>
              <w:pStyle w:val="FinancialsTableText"/>
              <w:jc w:val="right"/>
              <w:rPr>
                <w:b/>
              </w:rPr>
            </w:pPr>
            <w:r w:rsidRPr="00254DE9">
              <w:rPr>
                <w:b/>
              </w:rPr>
              <w:t xml:space="preserve"> – </w:t>
            </w:r>
          </w:p>
        </w:tc>
        <w:tc>
          <w:tcPr>
            <w:tcW w:w="1619" w:type="dxa"/>
          </w:tcPr>
          <w:p w:rsidR="00254DE9" w:rsidRPr="00254DE9" w:rsidRDefault="00254DE9" w:rsidP="00254DE9">
            <w:pPr>
              <w:pStyle w:val="FinancialsTableText"/>
              <w:jc w:val="right"/>
            </w:pPr>
            <w:r w:rsidRPr="00254DE9">
              <w:t xml:space="preserve"> –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2011-12-DCB</w:t>
            </w:r>
          </w:p>
        </w:tc>
        <w:tc>
          <w:tcPr>
            <w:tcW w:w="1671" w:type="dxa"/>
          </w:tcPr>
          <w:p w:rsidR="00254DE9" w:rsidRPr="00254DE9" w:rsidRDefault="00254DE9" w:rsidP="00254DE9">
            <w:pPr>
              <w:pStyle w:val="FinancialsTableText"/>
              <w:jc w:val="right"/>
              <w:rPr>
                <w:b/>
              </w:rPr>
            </w:pPr>
            <w:r w:rsidRPr="00254DE9">
              <w:rPr>
                <w:b/>
              </w:rPr>
              <w:t xml:space="preserve"> – </w:t>
            </w:r>
          </w:p>
        </w:tc>
        <w:tc>
          <w:tcPr>
            <w:tcW w:w="1619" w:type="dxa"/>
          </w:tcPr>
          <w:p w:rsidR="00254DE9" w:rsidRPr="00254DE9" w:rsidRDefault="00254DE9" w:rsidP="00254DE9">
            <w:pPr>
              <w:pStyle w:val="FinancialsTableText"/>
              <w:jc w:val="right"/>
            </w:pPr>
            <w:r w:rsidRPr="00254DE9">
              <w:t xml:space="preserve"> 3,651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2012-13</w:t>
            </w:r>
          </w:p>
        </w:tc>
        <w:tc>
          <w:tcPr>
            <w:tcW w:w="1671" w:type="dxa"/>
          </w:tcPr>
          <w:p w:rsidR="00254DE9" w:rsidRPr="00254DE9" w:rsidRDefault="00254DE9" w:rsidP="00254DE9">
            <w:pPr>
              <w:pStyle w:val="FinancialsTableText"/>
              <w:jc w:val="right"/>
              <w:rPr>
                <w:b/>
              </w:rPr>
            </w:pPr>
            <w:r w:rsidRPr="00254DE9">
              <w:rPr>
                <w:b/>
              </w:rPr>
              <w:t xml:space="preserve"> 6 </w:t>
            </w:r>
          </w:p>
        </w:tc>
        <w:tc>
          <w:tcPr>
            <w:tcW w:w="1619" w:type="dxa"/>
          </w:tcPr>
          <w:p w:rsidR="00254DE9" w:rsidRPr="00254DE9" w:rsidRDefault="00254DE9" w:rsidP="00254DE9">
            <w:pPr>
              <w:pStyle w:val="FinancialsTableText"/>
              <w:jc w:val="right"/>
            </w:pPr>
            <w:r w:rsidRPr="00254DE9">
              <w:t xml:space="preserve"> 2,690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2012-13-DCB</w:t>
            </w:r>
          </w:p>
        </w:tc>
        <w:tc>
          <w:tcPr>
            <w:tcW w:w="1671" w:type="dxa"/>
          </w:tcPr>
          <w:p w:rsidR="00254DE9" w:rsidRPr="00254DE9" w:rsidRDefault="00254DE9" w:rsidP="00254DE9">
            <w:pPr>
              <w:pStyle w:val="FinancialsTableText"/>
              <w:jc w:val="right"/>
              <w:rPr>
                <w:b/>
              </w:rPr>
            </w:pPr>
            <w:r w:rsidRPr="00254DE9">
              <w:rPr>
                <w:b/>
              </w:rPr>
              <w:t xml:space="preserve"> – </w:t>
            </w:r>
          </w:p>
        </w:tc>
        <w:tc>
          <w:tcPr>
            <w:tcW w:w="1619" w:type="dxa"/>
          </w:tcPr>
          <w:p w:rsidR="00254DE9" w:rsidRPr="00254DE9" w:rsidRDefault="00254DE9" w:rsidP="00254DE9">
            <w:pPr>
              <w:pStyle w:val="FinancialsTableText"/>
              <w:jc w:val="right"/>
            </w:pPr>
            <w:r w:rsidRPr="00254DE9">
              <w:t xml:space="preserve"> –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2013-14</w:t>
            </w:r>
          </w:p>
        </w:tc>
        <w:tc>
          <w:tcPr>
            <w:tcW w:w="1671" w:type="dxa"/>
          </w:tcPr>
          <w:p w:rsidR="00254DE9" w:rsidRPr="00254DE9" w:rsidRDefault="00254DE9" w:rsidP="00254DE9">
            <w:pPr>
              <w:pStyle w:val="FinancialsTableText"/>
              <w:jc w:val="right"/>
              <w:rPr>
                <w:b/>
              </w:rPr>
            </w:pPr>
            <w:r w:rsidRPr="00254DE9">
              <w:rPr>
                <w:b/>
              </w:rPr>
              <w:t xml:space="preserve"> 37 </w:t>
            </w:r>
          </w:p>
        </w:tc>
        <w:tc>
          <w:tcPr>
            <w:tcW w:w="1619" w:type="dxa"/>
          </w:tcPr>
          <w:p w:rsidR="00254DE9" w:rsidRPr="00254DE9" w:rsidRDefault="00254DE9" w:rsidP="00254DE9">
            <w:pPr>
              <w:pStyle w:val="FinancialsTableText"/>
              <w:jc w:val="right"/>
            </w:pPr>
            <w:r w:rsidRPr="00254DE9">
              <w:t xml:space="preserve"> 13,720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2013-14-DCB</w:t>
            </w:r>
          </w:p>
        </w:tc>
        <w:tc>
          <w:tcPr>
            <w:tcW w:w="1671" w:type="dxa"/>
          </w:tcPr>
          <w:p w:rsidR="00254DE9" w:rsidRPr="00254DE9" w:rsidRDefault="00254DE9" w:rsidP="00254DE9">
            <w:pPr>
              <w:pStyle w:val="FinancialsTableText"/>
              <w:jc w:val="right"/>
              <w:rPr>
                <w:b/>
              </w:rPr>
            </w:pPr>
            <w:r w:rsidRPr="00254DE9">
              <w:rPr>
                <w:b/>
              </w:rPr>
              <w:t xml:space="preserve"> 200 </w:t>
            </w:r>
          </w:p>
        </w:tc>
        <w:tc>
          <w:tcPr>
            <w:tcW w:w="1619" w:type="dxa"/>
          </w:tcPr>
          <w:p w:rsidR="00254DE9" w:rsidRPr="00254DE9" w:rsidRDefault="00254DE9" w:rsidP="00254DE9">
            <w:pPr>
              <w:pStyle w:val="FinancialsTableText"/>
              <w:jc w:val="right"/>
            </w:pPr>
            <w:r w:rsidRPr="00254DE9">
              <w:t xml:space="preserve"> 200 </w:t>
            </w:r>
          </w:p>
        </w:tc>
      </w:tr>
      <w:tr w:rsidR="00254DE9" w:rsidRPr="00254DE9" w:rsidTr="00254DE9">
        <w:trPr>
          <w:trHeight w:val="60"/>
        </w:trPr>
        <w:tc>
          <w:tcPr>
            <w:tcW w:w="6551" w:type="dxa"/>
          </w:tcPr>
          <w:p w:rsidR="00254DE9" w:rsidRPr="00254DE9" w:rsidRDefault="00254DE9" w:rsidP="00254DE9">
            <w:pPr>
              <w:pStyle w:val="FinancialsTableTextIndented"/>
            </w:pPr>
            <w:r w:rsidRPr="00254DE9">
              <w:t>Appropriation Act (No.1) 2014-15</w:t>
            </w:r>
          </w:p>
        </w:tc>
        <w:tc>
          <w:tcPr>
            <w:tcW w:w="1671" w:type="dxa"/>
          </w:tcPr>
          <w:p w:rsidR="00254DE9" w:rsidRPr="00254DE9" w:rsidRDefault="00254DE9" w:rsidP="00254DE9">
            <w:pPr>
              <w:pStyle w:val="FinancialsTableText"/>
              <w:jc w:val="right"/>
              <w:rPr>
                <w:b/>
              </w:rPr>
            </w:pPr>
            <w:r w:rsidRPr="00254DE9">
              <w:rPr>
                <w:b/>
              </w:rPr>
              <w:t xml:space="preserve"> 22,915 </w:t>
            </w:r>
          </w:p>
        </w:tc>
        <w:tc>
          <w:tcPr>
            <w:tcW w:w="1619" w:type="dxa"/>
          </w:tcPr>
          <w:p w:rsidR="00254DE9" w:rsidRPr="00254DE9" w:rsidRDefault="00254DE9" w:rsidP="00254DE9">
            <w:pPr>
              <w:pStyle w:val="FinancialsTableText"/>
              <w:jc w:val="right"/>
            </w:pPr>
            <w:r w:rsidRPr="00254DE9">
              <w:t xml:space="preserve"> – </w:t>
            </w:r>
          </w:p>
        </w:tc>
      </w:tr>
      <w:tr w:rsidR="00254DE9" w:rsidRPr="00254DE9" w:rsidTr="00254DE9">
        <w:trPr>
          <w:trHeight w:val="60"/>
        </w:trPr>
        <w:tc>
          <w:tcPr>
            <w:tcW w:w="6551" w:type="dxa"/>
          </w:tcPr>
          <w:p w:rsidR="00254DE9" w:rsidRPr="00254DE9" w:rsidRDefault="00254DE9" w:rsidP="00254DE9">
            <w:pPr>
              <w:pStyle w:val="FinancialsTableText"/>
              <w:rPr>
                <w:b/>
              </w:rPr>
            </w:pPr>
            <w:r w:rsidRPr="00254DE9">
              <w:rPr>
                <w:b/>
              </w:rPr>
              <w:t>Total departmental1</w:t>
            </w:r>
          </w:p>
        </w:tc>
        <w:tc>
          <w:tcPr>
            <w:tcW w:w="1671" w:type="dxa"/>
          </w:tcPr>
          <w:p w:rsidR="00254DE9" w:rsidRPr="00254DE9" w:rsidRDefault="00254DE9" w:rsidP="00254DE9">
            <w:pPr>
              <w:pStyle w:val="FinancialsTableText"/>
              <w:jc w:val="right"/>
              <w:rPr>
                <w:b/>
              </w:rPr>
            </w:pPr>
            <w:r w:rsidRPr="00254DE9">
              <w:rPr>
                <w:b/>
              </w:rPr>
              <w:t xml:space="preserve"> 23,158 </w:t>
            </w:r>
          </w:p>
        </w:tc>
        <w:tc>
          <w:tcPr>
            <w:tcW w:w="1619" w:type="dxa"/>
          </w:tcPr>
          <w:p w:rsidR="00254DE9" w:rsidRPr="00254DE9" w:rsidRDefault="00254DE9" w:rsidP="00254DE9">
            <w:pPr>
              <w:pStyle w:val="FinancialsTableText"/>
              <w:jc w:val="right"/>
            </w:pPr>
            <w:r w:rsidRPr="00254DE9">
              <w:t xml:space="preserve"> 20,261 </w:t>
            </w:r>
          </w:p>
        </w:tc>
      </w:tr>
      <w:tr w:rsidR="00254DE9" w:rsidRPr="00254DE9" w:rsidTr="00254DE9">
        <w:trPr>
          <w:trHeight w:val="60"/>
        </w:trPr>
        <w:tc>
          <w:tcPr>
            <w:tcW w:w="8222" w:type="dxa"/>
            <w:gridSpan w:val="2"/>
            <w:shd w:val="clear" w:color="auto" w:fill="E6E7E9"/>
          </w:tcPr>
          <w:p w:rsidR="00254DE9" w:rsidRPr="00254DE9" w:rsidRDefault="00254DE9" w:rsidP="00254DE9">
            <w:pPr>
              <w:pStyle w:val="FinancialsTableH2"/>
            </w:pPr>
            <w:r w:rsidRPr="00254DE9">
              <w:t>Administered</w:t>
            </w:r>
          </w:p>
        </w:tc>
        <w:tc>
          <w:tcPr>
            <w:tcW w:w="1619" w:type="dxa"/>
            <w:shd w:val="clear" w:color="auto" w:fill="E6E7E9"/>
          </w:tcPr>
          <w:p w:rsidR="00254DE9" w:rsidRPr="00254DE9" w:rsidRDefault="00254DE9" w:rsidP="00254DE9">
            <w:pPr>
              <w:pStyle w:val="FinancialsTableText"/>
              <w:jc w:val="right"/>
            </w:pPr>
          </w:p>
        </w:tc>
      </w:tr>
      <w:tr w:rsidR="00254DE9" w:rsidRPr="00254DE9" w:rsidTr="00254DE9">
        <w:trPr>
          <w:trHeight w:val="60"/>
        </w:trPr>
        <w:tc>
          <w:tcPr>
            <w:tcW w:w="6551" w:type="dxa"/>
            <w:shd w:val="clear" w:color="auto" w:fill="E6E7E9"/>
          </w:tcPr>
          <w:p w:rsidR="00254DE9" w:rsidRPr="00254DE9" w:rsidRDefault="00254DE9" w:rsidP="00254DE9">
            <w:pPr>
              <w:pStyle w:val="FinancialsTableTextIndented"/>
            </w:pPr>
            <w:r w:rsidRPr="00254DE9">
              <w:t>Appropriation Act (No.1) 2012-13</w:t>
            </w:r>
          </w:p>
        </w:tc>
        <w:tc>
          <w:tcPr>
            <w:tcW w:w="1671" w:type="dxa"/>
            <w:shd w:val="clear" w:color="auto" w:fill="E6E7E9"/>
          </w:tcPr>
          <w:p w:rsidR="00254DE9" w:rsidRPr="00254DE9" w:rsidRDefault="00254DE9" w:rsidP="00254DE9">
            <w:pPr>
              <w:pStyle w:val="FinancialsTableText"/>
              <w:jc w:val="right"/>
              <w:rPr>
                <w:b/>
              </w:rPr>
            </w:pPr>
            <w:r w:rsidRPr="00254DE9">
              <w:rPr>
                <w:b/>
              </w:rPr>
              <w:t xml:space="preserve"> – </w:t>
            </w:r>
          </w:p>
        </w:tc>
        <w:tc>
          <w:tcPr>
            <w:tcW w:w="1619" w:type="dxa"/>
            <w:shd w:val="clear" w:color="auto" w:fill="E6E7E9"/>
          </w:tcPr>
          <w:p w:rsidR="00254DE9" w:rsidRPr="00254DE9" w:rsidRDefault="00254DE9" w:rsidP="00254DE9">
            <w:pPr>
              <w:pStyle w:val="FinancialsTableText"/>
              <w:jc w:val="right"/>
            </w:pPr>
            <w:r w:rsidRPr="00254DE9">
              <w:t xml:space="preserve"> – </w:t>
            </w:r>
          </w:p>
        </w:tc>
      </w:tr>
      <w:tr w:rsidR="00254DE9" w:rsidRPr="00254DE9" w:rsidTr="00254DE9">
        <w:trPr>
          <w:trHeight w:val="60"/>
        </w:trPr>
        <w:tc>
          <w:tcPr>
            <w:tcW w:w="6551" w:type="dxa"/>
            <w:shd w:val="clear" w:color="auto" w:fill="E6E7E9"/>
          </w:tcPr>
          <w:p w:rsidR="00254DE9" w:rsidRPr="00254DE9" w:rsidRDefault="00254DE9" w:rsidP="00254DE9">
            <w:pPr>
              <w:pStyle w:val="FinancialsTableTextIndented"/>
            </w:pPr>
            <w:r w:rsidRPr="00254DE9">
              <w:t>Appropriation Act (No.1) 2013-14</w:t>
            </w:r>
          </w:p>
        </w:tc>
        <w:tc>
          <w:tcPr>
            <w:tcW w:w="1671" w:type="dxa"/>
            <w:shd w:val="clear" w:color="auto" w:fill="E6E7E9"/>
          </w:tcPr>
          <w:p w:rsidR="00254DE9" w:rsidRPr="00254DE9" w:rsidRDefault="00254DE9" w:rsidP="00254DE9">
            <w:pPr>
              <w:pStyle w:val="FinancialsTableText"/>
              <w:jc w:val="right"/>
              <w:rPr>
                <w:b/>
              </w:rPr>
            </w:pPr>
            <w:r w:rsidRPr="00254DE9">
              <w:rPr>
                <w:b/>
              </w:rPr>
              <w:t xml:space="preserve"> – </w:t>
            </w:r>
          </w:p>
        </w:tc>
        <w:tc>
          <w:tcPr>
            <w:tcW w:w="1619" w:type="dxa"/>
            <w:shd w:val="clear" w:color="auto" w:fill="E6E7E9"/>
          </w:tcPr>
          <w:p w:rsidR="00254DE9" w:rsidRPr="00254DE9" w:rsidRDefault="00254DE9" w:rsidP="00254DE9">
            <w:pPr>
              <w:pStyle w:val="FinancialsTableText"/>
              <w:jc w:val="right"/>
            </w:pPr>
            <w:r w:rsidRPr="00254DE9">
              <w:t xml:space="preserve"> 3,859 </w:t>
            </w:r>
          </w:p>
        </w:tc>
      </w:tr>
      <w:tr w:rsidR="00254DE9" w:rsidRPr="00254DE9" w:rsidTr="00254DE9">
        <w:trPr>
          <w:trHeight w:val="60"/>
        </w:trPr>
        <w:tc>
          <w:tcPr>
            <w:tcW w:w="6551" w:type="dxa"/>
            <w:shd w:val="clear" w:color="auto" w:fill="E6E7E9"/>
          </w:tcPr>
          <w:p w:rsidR="00254DE9" w:rsidRPr="00254DE9" w:rsidRDefault="00254DE9" w:rsidP="00254DE9">
            <w:pPr>
              <w:pStyle w:val="FinancialsTableText"/>
              <w:rPr>
                <w:b/>
              </w:rPr>
            </w:pPr>
            <w:r w:rsidRPr="00254DE9">
              <w:rPr>
                <w:b/>
              </w:rPr>
              <w:t>Total administered</w:t>
            </w:r>
          </w:p>
        </w:tc>
        <w:tc>
          <w:tcPr>
            <w:tcW w:w="1671" w:type="dxa"/>
            <w:shd w:val="clear" w:color="auto" w:fill="E6E7E9"/>
          </w:tcPr>
          <w:p w:rsidR="00254DE9" w:rsidRPr="00254DE9" w:rsidRDefault="00254DE9" w:rsidP="00254DE9">
            <w:pPr>
              <w:pStyle w:val="FinancialsTableText"/>
              <w:jc w:val="right"/>
              <w:rPr>
                <w:b/>
              </w:rPr>
            </w:pPr>
            <w:r w:rsidRPr="00254DE9">
              <w:rPr>
                <w:b/>
              </w:rPr>
              <w:t xml:space="preserve"> – </w:t>
            </w:r>
          </w:p>
        </w:tc>
        <w:tc>
          <w:tcPr>
            <w:tcW w:w="1619" w:type="dxa"/>
            <w:shd w:val="clear" w:color="auto" w:fill="E6E7E9"/>
          </w:tcPr>
          <w:p w:rsidR="00254DE9" w:rsidRPr="00254DE9" w:rsidRDefault="00254DE9" w:rsidP="00254DE9">
            <w:pPr>
              <w:pStyle w:val="FinancialsTableText"/>
              <w:jc w:val="right"/>
            </w:pPr>
            <w:r w:rsidRPr="00254DE9">
              <w:t xml:space="preserve"> 3,859 </w:t>
            </w:r>
          </w:p>
        </w:tc>
      </w:tr>
    </w:tbl>
    <w:p w:rsidR="00F34E2C" w:rsidRDefault="00F34E2C" w:rsidP="00F34E2C">
      <w:pPr>
        <w:pStyle w:val="SourceNotesText"/>
      </w:pPr>
      <w:r w:rsidRPr="00F34E2C">
        <w:rPr>
          <w:b/>
        </w:rPr>
        <w:t xml:space="preserve">Note </w:t>
      </w:r>
      <w:r>
        <w:br/>
        <w:t>1. On 16 October 2014, the Omnibus Repeal Day Act repealed $3.651 million of IHPA’s Appropriation Act 2011–12 DCB.</w:t>
      </w:r>
    </w:p>
    <w:p w:rsidR="00F34E2C" w:rsidRDefault="00F34E2C" w:rsidP="00F50D01">
      <w:pPr>
        <w:pStyle w:val="FinancialsTableH1"/>
        <w:spacing w:before="360"/>
      </w:pPr>
      <w:r>
        <w:t>Note 15D: Special appropriations applied (‘Recoverable GST exclusive’)</w:t>
      </w:r>
    </w:p>
    <w:p w:rsidR="00F34E2C" w:rsidRDefault="00F34E2C" w:rsidP="00F34E2C">
      <w:r>
        <w:t>There are no special appropriations applied to the IHPA during financial years 2014 and 2015.</w:t>
      </w:r>
    </w:p>
    <w:p w:rsidR="00F34E2C" w:rsidRDefault="00F34E2C" w:rsidP="00F50D01">
      <w:pPr>
        <w:pStyle w:val="FinancialsTableH1"/>
        <w:spacing w:before="360"/>
      </w:pPr>
      <w:r>
        <w:t>Note 15E: Disclosure by agent in relation to annual and special appropriations (‘Recoverable GST exclusive’)</w:t>
      </w:r>
    </w:p>
    <w:p w:rsidR="00F34E2C" w:rsidRDefault="00F34E2C" w:rsidP="00F34E2C">
      <w:r>
        <w:t>There are no appropriations for work performed on behalf of other agencies during financial years 2014 and 2015.</w:t>
      </w:r>
    </w:p>
    <w:p w:rsidR="00F34E2C" w:rsidRDefault="00F34E2C" w:rsidP="00F34E2C">
      <w:pPr>
        <w:pStyle w:val="FinancialsH2"/>
      </w:pPr>
      <w:bookmarkStart w:id="39" w:name="_Toc433193219"/>
      <w:r>
        <w:t>Note 16: Compliance with statutory conditions for payments from the consolidated revenue fund</w:t>
      </w:r>
      <w:bookmarkEnd w:id="39"/>
    </w:p>
    <w:p w:rsidR="00F34E2C" w:rsidRDefault="00F34E2C" w:rsidP="00F34E2C">
      <w:r>
        <w:t>Section 83 of the Constitution provides that no amount may be paid out of the Consolidated Revenue Fund except under an appropriation made by law. The Department of Finance provided information to all agencies in 2011 regarding the need for risk assessments in relation to compliance with statutory conditions on payments from special appropriations, including special accounts. IHPA does not have any special appropriations or special account.</w:t>
      </w:r>
    </w:p>
    <w:p w:rsidR="00254DE9" w:rsidRDefault="00F34E2C" w:rsidP="00F34E2C">
      <w:r>
        <w:t>Subsequently, additional legal advice was received that indicated there could be breaches of Section 83 under certain circumstances with payments for long service leave, goods and services tax and payments under determinations of the Remuneration Tribunal. During 2014/15 IHPA conducted a risk assessment and reviewed its processes and controls over payments for these items. No breaches occurred during the financial year and the risk of breaches occurring is minimal.</w:t>
      </w:r>
    </w:p>
    <w:p w:rsidR="00F34E2C" w:rsidRDefault="00F34E2C" w:rsidP="00F34E2C">
      <w:r>
        <w:br w:type="page"/>
      </w:r>
    </w:p>
    <w:p w:rsidR="00F34E2C" w:rsidRDefault="00F34E2C" w:rsidP="00F34E2C">
      <w:pPr>
        <w:pStyle w:val="FinancialsH2"/>
      </w:pPr>
      <w:bookmarkStart w:id="40" w:name="_Toc433193220"/>
      <w:r>
        <w:t>Note 17: Reporting of outcomes</w:t>
      </w:r>
      <w:bookmarkEnd w:id="40"/>
    </w:p>
    <w:p w:rsidR="00F34E2C" w:rsidRDefault="00F34E2C" w:rsidP="00F34E2C">
      <w:r>
        <w:t>IHPA’s outcome statement: promote improved efficiency in, and access to, public hospital services primarily through setting efficient national prices and levels of block funding for hospital activities</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Reporting of outcomes"/>
      </w:tblPr>
      <w:tblGrid>
        <w:gridCol w:w="6521"/>
        <w:gridCol w:w="1701"/>
        <w:gridCol w:w="1633"/>
      </w:tblGrid>
      <w:tr w:rsidR="00126750" w:rsidRPr="00126750" w:rsidTr="00126750">
        <w:trPr>
          <w:cnfStyle w:val="100000000000" w:firstRow="1" w:lastRow="0" w:firstColumn="0" w:lastColumn="0" w:oddVBand="0" w:evenVBand="0" w:oddHBand="0" w:evenHBand="0" w:firstRowFirstColumn="0" w:firstRowLastColumn="0" w:lastRowFirstColumn="0" w:lastRowLastColumn="0"/>
          <w:trHeight w:val="60"/>
        </w:trPr>
        <w:tc>
          <w:tcPr>
            <w:tcW w:w="6521" w:type="dxa"/>
          </w:tcPr>
          <w:p w:rsidR="00126750" w:rsidRPr="00126750" w:rsidRDefault="00126750" w:rsidP="00126750">
            <w:pPr>
              <w:pStyle w:val="FinancialsTableText"/>
            </w:pPr>
          </w:p>
        </w:tc>
        <w:tc>
          <w:tcPr>
            <w:tcW w:w="1701" w:type="dxa"/>
          </w:tcPr>
          <w:p w:rsidR="00126750" w:rsidRDefault="00126750" w:rsidP="00126750">
            <w:pPr>
              <w:pStyle w:val="FinancialsTableText"/>
              <w:jc w:val="right"/>
            </w:pPr>
            <w:r>
              <w:t>Outcome 1</w:t>
            </w:r>
          </w:p>
          <w:p w:rsidR="00126750" w:rsidRPr="00126750" w:rsidRDefault="00126750" w:rsidP="00126750">
            <w:pPr>
              <w:pStyle w:val="FinancialsTableText"/>
              <w:jc w:val="right"/>
            </w:pPr>
            <w:r>
              <w:t>2015</w:t>
            </w:r>
            <w:r>
              <w:br/>
            </w:r>
            <w:r w:rsidRPr="00126750">
              <w:rPr>
                <w:b w:val="0"/>
              </w:rPr>
              <w:t>$’000</w:t>
            </w:r>
          </w:p>
        </w:tc>
        <w:tc>
          <w:tcPr>
            <w:tcW w:w="1633" w:type="dxa"/>
          </w:tcPr>
          <w:p w:rsidR="00126750" w:rsidRDefault="00126750" w:rsidP="00126750">
            <w:pPr>
              <w:pStyle w:val="FinancialsTableText"/>
              <w:jc w:val="right"/>
            </w:pPr>
            <w:r>
              <w:t>Outcome 1</w:t>
            </w:r>
          </w:p>
          <w:p w:rsidR="00126750" w:rsidRPr="00126750" w:rsidRDefault="00126750" w:rsidP="00126750">
            <w:pPr>
              <w:pStyle w:val="FinancialsTableText"/>
              <w:jc w:val="right"/>
            </w:pPr>
            <w:r>
              <w:t>2014</w:t>
            </w:r>
            <w:r>
              <w:br/>
            </w:r>
            <w:r w:rsidRPr="00126750">
              <w:rPr>
                <w:b w:val="0"/>
              </w:rPr>
              <w:t>$’000</w:t>
            </w:r>
          </w:p>
        </w:tc>
      </w:tr>
      <w:tr w:rsidR="00126750" w:rsidRPr="00126750" w:rsidTr="00126750">
        <w:trPr>
          <w:trHeight w:val="60"/>
        </w:trPr>
        <w:tc>
          <w:tcPr>
            <w:tcW w:w="9855" w:type="dxa"/>
            <w:gridSpan w:val="3"/>
          </w:tcPr>
          <w:p w:rsidR="00126750" w:rsidRPr="00126750" w:rsidRDefault="00126750" w:rsidP="00126750">
            <w:pPr>
              <w:pStyle w:val="FinancialsTableH2"/>
            </w:pPr>
            <w:r w:rsidRPr="00126750">
              <w:t>Departmental</w:t>
            </w:r>
          </w:p>
        </w:tc>
      </w:tr>
      <w:tr w:rsidR="00126750" w:rsidRPr="00126750" w:rsidTr="00126750">
        <w:trPr>
          <w:trHeight w:val="60"/>
        </w:trPr>
        <w:tc>
          <w:tcPr>
            <w:tcW w:w="6521" w:type="dxa"/>
          </w:tcPr>
          <w:p w:rsidR="00126750" w:rsidRPr="00126750" w:rsidRDefault="00126750" w:rsidP="00126750">
            <w:pPr>
              <w:pStyle w:val="FinancialsTableTextIndented"/>
            </w:pPr>
            <w:r w:rsidRPr="00126750">
              <w:t>Expenses</w:t>
            </w:r>
          </w:p>
        </w:tc>
        <w:tc>
          <w:tcPr>
            <w:tcW w:w="1701" w:type="dxa"/>
          </w:tcPr>
          <w:p w:rsidR="00126750" w:rsidRPr="00126750" w:rsidRDefault="00126750" w:rsidP="00126750">
            <w:pPr>
              <w:pStyle w:val="FinancialsTableText"/>
              <w:jc w:val="right"/>
              <w:rPr>
                <w:b/>
              </w:rPr>
            </w:pPr>
            <w:r w:rsidRPr="00126750">
              <w:rPr>
                <w:b/>
              </w:rPr>
              <w:t xml:space="preserve"> 24,474 </w:t>
            </w:r>
          </w:p>
        </w:tc>
        <w:tc>
          <w:tcPr>
            <w:tcW w:w="1633" w:type="dxa"/>
          </w:tcPr>
          <w:p w:rsidR="00126750" w:rsidRPr="00126750" w:rsidRDefault="00126750" w:rsidP="00126750">
            <w:pPr>
              <w:pStyle w:val="FinancialsTableText"/>
              <w:jc w:val="right"/>
            </w:pPr>
            <w:r w:rsidRPr="00126750">
              <w:t xml:space="preserve"> 10,315 </w:t>
            </w:r>
          </w:p>
        </w:tc>
      </w:tr>
      <w:tr w:rsidR="00126750" w:rsidRPr="00126750" w:rsidTr="00126750">
        <w:trPr>
          <w:trHeight w:val="60"/>
        </w:trPr>
        <w:tc>
          <w:tcPr>
            <w:tcW w:w="6521" w:type="dxa"/>
          </w:tcPr>
          <w:p w:rsidR="00126750" w:rsidRPr="00126750" w:rsidRDefault="00126750" w:rsidP="00126750">
            <w:pPr>
              <w:pStyle w:val="FinancialsTableTextIndented"/>
            </w:pPr>
            <w:r w:rsidRPr="00126750">
              <w:t>Own-source income</w:t>
            </w:r>
          </w:p>
        </w:tc>
        <w:tc>
          <w:tcPr>
            <w:tcW w:w="1701" w:type="dxa"/>
          </w:tcPr>
          <w:p w:rsidR="00126750" w:rsidRPr="00126750" w:rsidRDefault="00126750" w:rsidP="00126750">
            <w:pPr>
              <w:pStyle w:val="FinancialsTableText"/>
              <w:jc w:val="right"/>
              <w:rPr>
                <w:b/>
              </w:rPr>
            </w:pPr>
            <w:r w:rsidRPr="00126750">
              <w:rPr>
                <w:b/>
              </w:rPr>
              <w:t xml:space="preserve"> 2,494 </w:t>
            </w:r>
          </w:p>
        </w:tc>
        <w:tc>
          <w:tcPr>
            <w:tcW w:w="1633" w:type="dxa"/>
          </w:tcPr>
          <w:p w:rsidR="00126750" w:rsidRPr="00126750" w:rsidRDefault="00126750" w:rsidP="00126750">
            <w:pPr>
              <w:pStyle w:val="FinancialsTableText"/>
              <w:jc w:val="right"/>
            </w:pPr>
            <w:r w:rsidRPr="00126750">
              <w:t xml:space="preserve"> 514 </w:t>
            </w:r>
          </w:p>
        </w:tc>
      </w:tr>
      <w:tr w:rsidR="00126750" w:rsidRPr="00126750" w:rsidTr="00126750">
        <w:trPr>
          <w:trHeight w:val="60"/>
        </w:trPr>
        <w:tc>
          <w:tcPr>
            <w:tcW w:w="9855" w:type="dxa"/>
            <w:gridSpan w:val="3"/>
            <w:shd w:val="clear" w:color="auto" w:fill="E6E7E9"/>
          </w:tcPr>
          <w:p w:rsidR="00126750" w:rsidRPr="00126750" w:rsidRDefault="00126750" w:rsidP="00126750">
            <w:pPr>
              <w:pStyle w:val="FinancialsTableH2"/>
            </w:pPr>
            <w:r w:rsidRPr="00126750">
              <w:t>Administered</w:t>
            </w:r>
          </w:p>
        </w:tc>
      </w:tr>
      <w:tr w:rsidR="00126750" w:rsidRPr="00126750" w:rsidTr="00126750">
        <w:trPr>
          <w:trHeight w:val="60"/>
        </w:trPr>
        <w:tc>
          <w:tcPr>
            <w:tcW w:w="6521" w:type="dxa"/>
            <w:shd w:val="clear" w:color="auto" w:fill="E6E7E9"/>
          </w:tcPr>
          <w:p w:rsidR="00126750" w:rsidRPr="00126750" w:rsidRDefault="00126750" w:rsidP="00126750">
            <w:pPr>
              <w:pStyle w:val="FinancialsTableTextIndented"/>
            </w:pPr>
            <w:r w:rsidRPr="00126750">
              <w:t>Expenses</w:t>
            </w:r>
          </w:p>
        </w:tc>
        <w:tc>
          <w:tcPr>
            <w:tcW w:w="1701" w:type="dxa"/>
            <w:shd w:val="clear" w:color="auto" w:fill="E6E7E9"/>
          </w:tcPr>
          <w:p w:rsidR="00126750" w:rsidRPr="00126750" w:rsidRDefault="00126750" w:rsidP="00126750">
            <w:pPr>
              <w:pStyle w:val="FinancialsTableText"/>
              <w:jc w:val="right"/>
              <w:rPr>
                <w:b/>
              </w:rPr>
            </w:pPr>
            <w:r w:rsidRPr="00126750">
              <w:rPr>
                <w:b/>
              </w:rPr>
              <w:t xml:space="preserve"> – </w:t>
            </w:r>
          </w:p>
        </w:tc>
        <w:tc>
          <w:tcPr>
            <w:tcW w:w="1633" w:type="dxa"/>
            <w:shd w:val="clear" w:color="auto" w:fill="E6E7E9"/>
          </w:tcPr>
          <w:p w:rsidR="00126750" w:rsidRPr="00126750" w:rsidRDefault="00126750" w:rsidP="00126750">
            <w:pPr>
              <w:pStyle w:val="FinancialsTableText"/>
              <w:jc w:val="right"/>
            </w:pPr>
            <w:r w:rsidRPr="00126750">
              <w:t xml:space="preserve"> 9,862 </w:t>
            </w:r>
          </w:p>
        </w:tc>
      </w:tr>
      <w:tr w:rsidR="00126750" w:rsidRPr="00126750" w:rsidTr="00126750">
        <w:trPr>
          <w:trHeight w:val="60"/>
        </w:trPr>
        <w:tc>
          <w:tcPr>
            <w:tcW w:w="6521" w:type="dxa"/>
            <w:shd w:val="clear" w:color="auto" w:fill="E6E7E9"/>
          </w:tcPr>
          <w:p w:rsidR="00126750" w:rsidRPr="00126750" w:rsidRDefault="00126750" w:rsidP="00126750">
            <w:pPr>
              <w:pStyle w:val="FinancialsTableTextIndented"/>
            </w:pPr>
            <w:r w:rsidRPr="00126750">
              <w:t>Income</w:t>
            </w:r>
          </w:p>
        </w:tc>
        <w:tc>
          <w:tcPr>
            <w:tcW w:w="1701" w:type="dxa"/>
            <w:shd w:val="clear" w:color="auto" w:fill="E6E7E9"/>
          </w:tcPr>
          <w:p w:rsidR="00126750" w:rsidRPr="00126750" w:rsidRDefault="00126750" w:rsidP="00126750">
            <w:pPr>
              <w:pStyle w:val="FinancialsTableText"/>
              <w:jc w:val="right"/>
              <w:rPr>
                <w:b/>
              </w:rPr>
            </w:pPr>
            <w:r w:rsidRPr="00126750">
              <w:rPr>
                <w:b/>
              </w:rPr>
              <w:t xml:space="preserve"> – </w:t>
            </w:r>
          </w:p>
        </w:tc>
        <w:tc>
          <w:tcPr>
            <w:tcW w:w="1633" w:type="dxa"/>
            <w:shd w:val="clear" w:color="auto" w:fill="E6E7E9"/>
          </w:tcPr>
          <w:p w:rsidR="00126750" w:rsidRPr="00126750" w:rsidRDefault="00126750" w:rsidP="00126750">
            <w:pPr>
              <w:pStyle w:val="FinancialsTableText"/>
              <w:jc w:val="right"/>
            </w:pPr>
            <w:r w:rsidRPr="00126750">
              <w:t xml:space="preserve"> 567 </w:t>
            </w:r>
          </w:p>
        </w:tc>
      </w:tr>
      <w:tr w:rsidR="00126750" w:rsidRPr="00126750" w:rsidTr="00126750">
        <w:trPr>
          <w:trHeight w:val="60"/>
        </w:trPr>
        <w:tc>
          <w:tcPr>
            <w:tcW w:w="6521" w:type="dxa"/>
            <w:shd w:val="clear" w:color="auto" w:fill="E6E7E9"/>
          </w:tcPr>
          <w:p w:rsidR="00126750" w:rsidRPr="00126750" w:rsidRDefault="00126750" w:rsidP="00126750">
            <w:pPr>
              <w:pStyle w:val="FinancialsTableText"/>
              <w:rPr>
                <w:b/>
              </w:rPr>
            </w:pPr>
            <w:r w:rsidRPr="00126750">
              <w:rPr>
                <w:b/>
              </w:rPr>
              <w:t>Net cost of outcome delivery</w:t>
            </w:r>
          </w:p>
        </w:tc>
        <w:tc>
          <w:tcPr>
            <w:tcW w:w="1701" w:type="dxa"/>
            <w:shd w:val="clear" w:color="auto" w:fill="E6E7E9"/>
          </w:tcPr>
          <w:p w:rsidR="00126750" w:rsidRPr="00126750" w:rsidRDefault="00126750" w:rsidP="00126750">
            <w:pPr>
              <w:pStyle w:val="FinancialsTableText"/>
              <w:jc w:val="right"/>
              <w:rPr>
                <w:b/>
              </w:rPr>
            </w:pPr>
            <w:r w:rsidRPr="00126750">
              <w:rPr>
                <w:b/>
              </w:rPr>
              <w:t xml:space="preserve"> 21,980 </w:t>
            </w:r>
          </w:p>
        </w:tc>
        <w:tc>
          <w:tcPr>
            <w:tcW w:w="1633" w:type="dxa"/>
            <w:shd w:val="clear" w:color="auto" w:fill="E6E7E9"/>
          </w:tcPr>
          <w:p w:rsidR="00126750" w:rsidRPr="00126750" w:rsidRDefault="00126750" w:rsidP="00126750">
            <w:pPr>
              <w:pStyle w:val="FinancialsTableText"/>
              <w:jc w:val="right"/>
            </w:pPr>
            <w:r w:rsidRPr="00126750">
              <w:t xml:space="preserve"> 19,096</w:t>
            </w:r>
          </w:p>
        </w:tc>
      </w:tr>
    </w:tbl>
    <w:p w:rsidR="000A1A09" w:rsidRDefault="000A1A09" w:rsidP="000A1A09">
      <w:pPr>
        <w:pStyle w:val="FinancialsH2"/>
      </w:pPr>
      <w:bookmarkStart w:id="41" w:name="_Toc433193221"/>
      <w:r>
        <w:t>Note 18: Budgetary Reports and Explanations of Major Variances</w:t>
      </w:r>
      <w:bookmarkEnd w:id="41"/>
    </w:p>
    <w:p w:rsidR="000A1A09" w:rsidRDefault="000A1A09" w:rsidP="000A1A09">
      <w:r>
        <w:t>The following tables provide a comparison of the original budget as presented in the 2014–15 Portfolio Budget Statements (PBS) to the 2014–15 final outcome as presented in accordance with Australian Accounting Standards for IHPA. The Budget is not audited.</w:t>
      </w:r>
    </w:p>
    <w:p w:rsidR="00F34E2C" w:rsidRDefault="000A1A09" w:rsidP="000A1A09">
      <w:r>
        <w:t>Major variances are generally those greater than 10 per cent of the original budget. Variances below this threshold are generally not included unless considered significant by their nature.</w:t>
      </w:r>
    </w:p>
    <w:p w:rsidR="001A2D78" w:rsidRDefault="001A2D78" w:rsidP="003D040D">
      <w:r>
        <w:br w:type="page"/>
      </w:r>
    </w:p>
    <w:p w:rsidR="00645CCB" w:rsidRDefault="00645CCB" w:rsidP="00645CCB">
      <w:pPr>
        <w:pStyle w:val="FinancialsH2"/>
      </w:pPr>
      <w:bookmarkStart w:id="42" w:name="_Toc433193222"/>
      <w:r>
        <w:t>Statement of comprehensive income</w:t>
      </w:r>
      <w:bookmarkEnd w:id="42"/>
    </w:p>
    <w:p w:rsidR="003D040D" w:rsidRDefault="00645CCB" w:rsidP="00645CCB">
      <w:pPr>
        <w:spacing w:before="0"/>
      </w:pPr>
      <w:r>
        <w:t>for the year ended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tatement of comprehensive income for the year ended 30 June 2015"/>
      </w:tblPr>
      <w:tblGrid>
        <w:gridCol w:w="4536"/>
        <w:gridCol w:w="1843"/>
        <w:gridCol w:w="1843"/>
        <w:gridCol w:w="1633"/>
      </w:tblGrid>
      <w:tr w:rsidR="00803BF8" w:rsidRPr="00803BF8" w:rsidTr="006E010C">
        <w:trPr>
          <w:cnfStyle w:val="100000000000" w:firstRow="1" w:lastRow="0" w:firstColumn="0" w:lastColumn="0" w:oddVBand="0" w:evenVBand="0" w:oddHBand="0" w:evenHBand="0" w:firstRowFirstColumn="0" w:firstRowLastColumn="0" w:lastRowFirstColumn="0" w:lastRowLastColumn="0"/>
          <w:trHeight w:val="60"/>
        </w:trPr>
        <w:tc>
          <w:tcPr>
            <w:tcW w:w="4536" w:type="dxa"/>
          </w:tcPr>
          <w:p w:rsidR="00803BF8" w:rsidRPr="00803BF8" w:rsidRDefault="00803BF8" w:rsidP="001D693F">
            <w:pPr>
              <w:pStyle w:val="FinancialsTableText"/>
            </w:pPr>
          </w:p>
        </w:tc>
        <w:tc>
          <w:tcPr>
            <w:tcW w:w="1843" w:type="dxa"/>
          </w:tcPr>
          <w:p w:rsidR="001D693F" w:rsidRPr="00803BF8" w:rsidRDefault="001D693F" w:rsidP="001D693F">
            <w:pPr>
              <w:pStyle w:val="FinancialsTableText"/>
              <w:jc w:val="right"/>
              <w:rPr>
                <w:bCs/>
                <w:lang w:val="en-GB"/>
              </w:rPr>
            </w:pPr>
            <w:r w:rsidRPr="00803BF8">
              <w:rPr>
                <w:bCs/>
                <w:lang w:val="en-GB"/>
              </w:rPr>
              <w:t>Budget estimate</w:t>
            </w:r>
          </w:p>
          <w:p w:rsidR="00803BF8" w:rsidRPr="001D693F" w:rsidRDefault="001D693F" w:rsidP="001D693F">
            <w:pPr>
              <w:pStyle w:val="FinancialsTableText"/>
              <w:jc w:val="right"/>
              <w:rPr>
                <w:bCs/>
                <w:lang w:val="en-GB"/>
              </w:rPr>
            </w:pPr>
            <w:r w:rsidRPr="00803BF8">
              <w:rPr>
                <w:bCs/>
                <w:lang w:val="en-GB"/>
              </w:rPr>
              <w:t xml:space="preserve">Actual </w:t>
            </w:r>
            <w:r>
              <w:rPr>
                <w:bCs/>
                <w:lang w:val="en-GB"/>
              </w:rPr>
              <w:t>2015</w:t>
            </w:r>
            <w:r>
              <w:rPr>
                <w:bCs/>
                <w:lang w:val="en-GB"/>
              </w:rPr>
              <w:br/>
            </w:r>
            <w:r w:rsidR="00803BF8" w:rsidRPr="001D693F">
              <w:rPr>
                <w:b w:val="0"/>
                <w:lang w:val="en-GB"/>
              </w:rPr>
              <w:t>$000</w:t>
            </w:r>
          </w:p>
        </w:tc>
        <w:tc>
          <w:tcPr>
            <w:tcW w:w="1843" w:type="dxa"/>
          </w:tcPr>
          <w:p w:rsidR="001D693F" w:rsidRPr="00803BF8" w:rsidRDefault="001D693F" w:rsidP="001D693F">
            <w:pPr>
              <w:pStyle w:val="FinancialsTableText"/>
              <w:jc w:val="right"/>
              <w:rPr>
                <w:bCs/>
                <w:lang w:val="en-GB"/>
              </w:rPr>
            </w:pPr>
            <w:r w:rsidRPr="00803BF8">
              <w:rPr>
                <w:bCs/>
                <w:lang w:val="en-GB"/>
              </w:rPr>
              <w:t>Budget estimate</w:t>
            </w:r>
          </w:p>
          <w:p w:rsidR="00803BF8" w:rsidRPr="00803BF8" w:rsidRDefault="001D693F" w:rsidP="001D693F">
            <w:pPr>
              <w:pStyle w:val="FinancialsTableText"/>
              <w:jc w:val="right"/>
              <w:rPr>
                <w:lang w:val="en-GB"/>
              </w:rPr>
            </w:pPr>
            <w:r w:rsidRPr="00803BF8">
              <w:rPr>
                <w:bCs/>
                <w:lang w:val="en-GB"/>
              </w:rPr>
              <w:t xml:space="preserve">Original </w:t>
            </w:r>
            <w:r w:rsidR="00803BF8" w:rsidRPr="00803BF8">
              <w:rPr>
                <w:bCs/>
                <w:lang w:val="en-GB"/>
              </w:rPr>
              <w:t>2015</w:t>
            </w:r>
            <w:r>
              <w:rPr>
                <w:bCs/>
                <w:lang w:val="en-GB"/>
              </w:rPr>
              <w:br/>
            </w:r>
            <w:r w:rsidR="00803BF8" w:rsidRPr="001D693F">
              <w:rPr>
                <w:b w:val="0"/>
                <w:lang w:val="en-GB"/>
              </w:rPr>
              <w:t>$000</w:t>
            </w:r>
          </w:p>
        </w:tc>
        <w:tc>
          <w:tcPr>
            <w:tcW w:w="1633" w:type="dxa"/>
          </w:tcPr>
          <w:p w:rsidR="001D693F" w:rsidRDefault="001D693F" w:rsidP="001D693F">
            <w:pPr>
              <w:pStyle w:val="FinancialsTableText"/>
              <w:jc w:val="right"/>
              <w:rPr>
                <w:bCs/>
                <w:vertAlign w:val="superscript"/>
                <w:lang w:val="en-GB"/>
              </w:rPr>
            </w:pPr>
            <w:r w:rsidRPr="00803BF8">
              <w:rPr>
                <w:bCs/>
                <w:lang w:val="en-GB"/>
              </w:rPr>
              <w:t>Variance</w:t>
            </w:r>
            <w:r w:rsidRPr="00803BF8">
              <w:rPr>
                <w:bCs/>
                <w:vertAlign w:val="superscript"/>
                <w:lang w:val="en-GB"/>
              </w:rPr>
              <w:t>1</w:t>
            </w:r>
          </w:p>
          <w:p w:rsidR="00803BF8" w:rsidRPr="00803BF8" w:rsidRDefault="00803BF8" w:rsidP="001D693F">
            <w:pPr>
              <w:pStyle w:val="FinancialsTableText"/>
              <w:jc w:val="right"/>
              <w:rPr>
                <w:lang w:val="en-GB"/>
              </w:rPr>
            </w:pPr>
            <w:r w:rsidRPr="00803BF8">
              <w:rPr>
                <w:bCs/>
                <w:lang w:val="en-GB"/>
              </w:rPr>
              <w:t>2015</w:t>
            </w:r>
            <w:r w:rsidR="001D693F">
              <w:rPr>
                <w:bCs/>
                <w:lang w:val="en-GB"/>
              </w:rPr>
              <w:br/>
            </w:r>
            <w:r w:rsidRPr="001D693F">
              <w:rPr>
                <w:b w:val="0"/>
                <w:lang w:val="en-GB"/>
              </w:rPr>
              <w:t>$000</w:t>
            </w:r>
          </w:p>
        </w:tc>
      </w:tr>
      <w:tr w:rsidR="00803BF8" w:rsidRPr="00803BF8" w:rsidTr="00650B88">
        <w:trPr>
          <w:trHeight w:val="60"/>
        </w:trPr>
        <w:tc>
          <w:tcPr>
            <w:tcW w:w="9855" w:type="dxa"/>
            <w:gridSpan w:val="4"/>
          </w:tcPr>
          <w:p w:rsidR="00803BF8" w:rsidRPr="001D693F" w:rsidRDefault="00803BF8" w:rsidP="001A7249">
            <w:pPr>
              <w:pStyle w:val="FinancialsTableH2"/>
            </w:pPr>
            <w:r w:rsidRPr="001D693F">
              <w:t>Net cost of services</w:t>
            </w:r>
          </w:p>
        </w:tc>
      </w:tr>
      <w:tr w:rsidR="00803BF8" w:rsidRPr="00803BF8" w:rsidTr="00650B88">
        <w:trPr>
          <w:trHeight w:val="60"/>
        </w:trPr>
        <w:tc>
          <w:tcPr>
            <w:tcW w:w="9855" w:type="dxa"/>
            <w:gridSpan w:val="4"/>
          </w:tcPr>
          <w:p w:rsidR="00803BF8" w:rsidRPr="001D693F" w:rsidRDefault="00803BF8" w:rsidP="001D693F">
            <w:pPr>
              <w:pStyle w:val="FinancialsTableText"/>
            </w:pPr>
            <w:r w:rsidRPr="001D693F">
              <w:t>Expenses</w:t>
            </w:r>
          </w:p>
        </w:tc>
      </w:tr>
      <w:tr w:rsidR="00803BF8" w:rsidRPr="00803BF8" w:rsidTr="006E010C">
        <w:trPr>
          <w:trHeight w:val="60"/>
        </w:trPr>
        <w:tc>
          <w:tcPr>
            <w:tcW w:w="4536" w:type="dxa"/>
          </w:tcPr>
          <w:p w:rsidR="00803BF8" w:rsidRPr="001D693F" w:rsidRDefault="00803BF8" w:rsidP="001A7249">
            <w:pPr>
              <w:pStyle w:val="FinancialsTableTextIndented"/>
            </w:pPr>
            <w:r w:rsidRPr="001D693F">
              <w:t>Employee benefits</w:t>
            </w:r>
          </w:p>
        </w:tc>
        <w:tc>
          <w:tcPr>
            <w:tcW w:w="1843" w:type="dxa"/>
          </w:tcPr>
          <w:p w:rsidR="00803BF8" w:rsidRPr="001D693F" w:rsidRDefault="00803BF8" w:rsidP="001D693F">
            <w:pPr>
              <w:pStyle w:val="FinancialsTableText"/>
              <w:jc w:val="right"/>
            </w:pPr>
            <w:r w:rsidRPr="001D693F">
              <w:t xml:space="preserve"> 7,242 </w:t>
            </w:r>
          </w:p>
        </w:tc>
        <w:tc>
          <w:tcPr>
            <w:tcW w:w="1843" w:type="dxa"/>
          </w:tcPr>
          <w:p w:rsidR="00803BF8" w:rsidRPr="001D693F" w:rsidRDefault="00803BF8" w:rsidP="001D693F">
            <w:pPr>
              <w:pStyle w:val="FinancialsTableText"/>
              <w:jc w:val="right"/>
            </w:pPr>
            <w:r w:rsidRPr="001D693F">
              <w:t xml:space="preserve"> 8,860 </w:t>
            </w:r>
          </w:p>
        </w:tc>
        <w:tc>
          <w:tcPr>
            <w:tcW w:w="1633" w:type="dxa"/>
          </w:tcPr>
          <w:p w:rsidR="00803BF8" w:rsidRPr="001D693F" w:rsidRDefault="00803BF8" w:rsidP="001D693F">
            <w:pPr>
              <w:pStyle w:val="FinancialsTableText"/>
              <w:jc w:val="right"/>
            </w:pPr>
            <w:r w:rsidRPr="001D693F">
              <w:t xml:space="preserve"> 1,618 </w:t>
            </w:r>
          </w:p>
        </w:tc>
      </w:tr>
      <w:tr w:rsidR="00803BF8" w:rsidRPr="00803BF8" w:rsidTr="006E010C">
        <w:trPr>
          <w:trHeight w:val="60"/>
        </w:trPr>
        <w:tc>
          <w:tcPr>
            <w:tcW w:w="4536" w:type="dxa"/>
          </w:tcPr>
          <w:p w:rsidR="00803BF8" w:rsidRPr="001D693F" w:rsidRDefault="00803BF8" w:rsidP="001A7249">
            <w:pPr>
              <w:pStyle w:val="FinancialsTableTextIndented"/>
            </w:pPr>
            <w:r w:rsidRPr="001D693F">
              <w:t>Suppliers</w:t>
            </w:r>
          </w:p>
        </w:tc>
        <w:tc>
          <w:tcPr>
            <w:tcW w:w="1843" w:type="dxa"/>
          </w:tcPr>
          <w:p w:rsidR="00803BF8" w:rsidRPr="001D693F" w:rsidRDefault="00803BF8" w:rsidP="001D693F">
            <w:pPr>
              <w:pStyle w:val="FinancialsTableText"/>
              <w:jc w:val="right"/>
            </w:pPr>
            <w:r w:rsidRPr="001D693F">
              <w:t xml:space="preserve"> 16,423 </w:t>
            </w:r>
          </w:p>
        </w:tc>
        <w:tc>
          <w:tcPr>
            <w:tcW w:w="1843" w:type="dxa"/>
          </w:tcPr>
          <w:p w:rsidR="00803BF8" w:rsidRPr="001D693F" w:rsidRDefault="00803BF8" w:rsidP="001D693F">
            <w:pPr>
              <w:pStyle w:val="FinancialsTableText"/>
              <w:jc w:val="right"/>
            </w:pPr>
            <w:r w:rsidRPr="001D693F">
              <w:t xml:space="preserve"> 4,325 </w:t>
            </w:r>
          </w:p>
        </w:tc>
        <w:tc>
          <w:tcPr>
            <w:tcW w:w="1633" w:type="dxa"/>
          </w:tcPr>
          <w:p w:rsidR="00803BF8" w:rsidRPr="001D693F" w:rsidRDefault="00803BF8" w:rsidP="001D693F">
            <w:pPr>
              <w:pStyle w:val="FinancialsTableText"/>
              <w:jc w:val="right"/>
            </w:pPr>
            <w:r w:rsidRPr="001D693F">
              <w:t xml:space="preserve"> (12,098)</w:t>
            </w:r>
          </w:p>
        </w:tc>
      </w:tr>
      <w:tr w:rsidR="00803BF8" w:rsidRPr="00803BF8" w:rsidTr="006E010C">
        <w:trPr>
          <w:trHeight w:val="60"/>
        </w:trPr>
        <w:tc>
          <w:tcPr>
            <w:tcW w:w="4536" w:type="dxa"/>
          </w:tcPr>
          <w:p w:rsidR="00803BF8" w:rsidRPr="001D693F" w:rsidRDefault="00803BF8" w:rsidP="001A7249">
            <w:pPr>
              <w:pStyle w:val="FinancialsTableTextIndented"/>
            </w:pPr>
            <w:r w:rsidRPr="001D693F">
              <w:t>Depreciation</w:t>
            </w:r>
          </w:p>
        </w:tc>
        <w:tc>
          <w:tcPr>
            <w:tcW w:w="1843" w:type="dxa"/>
          </w:tcPr>
          <w:p w:rsidR="00803BF8" w:rsidRPr="001D693F" w:rsidRDefault="00803BF8" w:rsidP="001D693F">
            <w:pPr>
              <w:pStyle w:val="FinancialsTableText"/>
              <w:jc w:val="right"/>
            </w:pPr>
            <w:r w:rsidRPr="001D693F">
              <w:t xml:space="preserve"> 567 </w:t>
            </w:r>
          </w:p>
        </w:tc>
        <w:tc>
          <w:tcPr>
            <w:tcW w:w="1843" w:type="dxa"/>
          </w:tcPr>
          <w:p w:rsidR="00803BF8" w:rsidRPr="001D693F" w:rsidRDefault="00803BF8" w:rsidP="001D693F">
            <w:pPr>
              <w:pStyle w:val="FinancialsTableText"/>
              <w:jc w:val="right"/>
            </w:pPr>
            <w:r w:rsidRPr="001D693F">
              <w:t xml:space="preserve"> 380 </w:t>
            </w:r>
          </w:p>
        </w:tc>
        <w:tc>
          <w:tcPr>
            <w:tcW w:w="1633" w:type="dxa"/>
          </w:tcPr>
          <w:p w:rsidR="00803BF8" w:rsidRPr="001D693F" w:rsidRDefault="00803BF8" w:rsidP="001D693F">
            <w:pPr>
              <w:pStyle w:val="FinancialsTableText"/>
              <w:jc w:val="right"/>
            </w:pPr>
            <w:r w:rsidRPr="001D693F">
              <w:t xml:space="preserve"> (187)</w:t>
            </w:r>
          </w:p>
        </w:tc>
      </w:tr>
      <w:tr w:rsidR="00803BF8" w:rsidRPr="00803BF8" w:rsidTr="006E010C">
        <w:trPr>
          <w:trHeight w:val="60"/>
        </w:trPr>
        <w:tc>
          <w:tcPr>
            <w:tcW w:w="4536" w:type="dxa"/>
          </w:tcPr>
          <w:p w:rsidR="00803BF8" w:rsidRPr="001D693F" w:rsidRDefault="00803BF8" w:rsidP="001A7249">
            <w:pPr>
              <w:pStyle w:val="FinancialsTableTextIndented"/>
            </w:pPr>
            <w:r w:rsidRPr="001D693F">
              <w:t>Finance costs</w:t>
            </w:r>
          </w:p>
        </w:tc>
        <w:tc>
          <w:tcPr>
            <w:tcW w:w="1843" w:type="dxa"/>
          </w:tcPr>
          <w:p w:rsidR="00803BF8" w:rsidRPr="001D693F" w:rsidRDefault="00803BF8" w:rsidP="001D693F">
            <w:pPr>
              <w:pStyle w:val="FinancialsTableText"/>
              <w:jc w:val="right"/>
            </w:pPr>
            <w:r w:rsidRPr="001D693F">
              <w:t xml:space="preserve"> – </w:t>
            </w:r>
          </w:p>
        </w:tc>
        <w:tc>
          <w:tcPr>
            <w:tcW w:w="1843" w:type="dxa"/>
          </w:tcPr>
          <w:p w:rsidR="00803BF8" w:rsidRPr="001D693F" w:rsidRDefault="00803BF8" w:rsidP="001D693F">
            <w:pPr>
              <w:pStyle w:val="FinancialsTableText"/>
              <w:jc w:val="right"/>
            </w:pPr>
            <w:r w:rsidRPr="001D693F">
              <w:t xml:space="preserve"> – </w:t>
            </w:r>
          </w:p>
        </w:tc>
        <w:tc>
          <w:tcPr>
            <w:tcW w:w="1633" w:type="dxa"/>
          </w:tcPr>
          <w:p w:rsidR="00803BF8" w:rsidRPr="001D693F" w:rsidRDefault="00803BF8" w:rsidP="001D693F">
            <w:pPr>
              <w:pStyle w:val="FinancialsTableText"/>
              <w:jc w:val="right"/>
            </w:pPr>
            <w:r w:rsidRPr="001D693F">
              <w:t xml:space="preserve"> – </w:t>
            </w:r>
          </w:p>
        </w:tc>
      </w:tr>
      <w:tr w:rsidR="00803BF8" w:rsidRPr="00803BF8" w:rsidTr="006E010C">
        <w:trPr>
          <w:trHeight w:val="60"/>
        </w:trPr>
        <w:tc>
          <w:tcPr>
            <w:tcW w:w="4536" w:type="dxa"/>
          </w:tcPr>
          <w:p w:rsidR="00803BF8" w:rsidRPr="001D693F" w:rsidRDefault="00803BF8" w:rsidP="001A7249">
            <w:pPr>
              <w:pStyle w:val="FinancialsTableTextIndented"/>
            </w:pPr>
            <w:r w:rsidRPr="001D693F">
              <w:t>Write-down and impairment of assets</w:t>
            </w:r>
          </w:p>
        </w:tc>
        <w:tc>
          <w:tcPr>
            <w:tcW w:w="1843" w:type="dxa"/>
          </w:tcPr>
          <w:p w:rsidR="00803BF8" w:rsidRPr="001D693F" w:rsidRDefault="00803BF8" w:rsidP="001D693F">
            <w:pPr>
              <w:pStyle w:val="FinancialsTableText"/>
              <w:jc w:val="right"/>
            </w:pPr>
            <w:r w:rsidRPr="001D693F">
              <w:t xml:space="preserve"> 242 </w:t>
            </w:r>
          </w:p>
        </w:tc>
        <w:tc>
          <w:tcPr>
            <w:tcW w:w="1843" w:type="dxa"/>
          </w:tcPr>
          <w:p w:rsidR="00803BF8" w:rsidRPr="001D693F" w:rsidRDefault="00803BF8" w:rsidP="001D693F">
            <w:pPr>
              <w:pStyle w:val="FinancialsTableText"/>
              <w:jc w:val="right"/>
            </w:pPr>
            <w:r w:rsidRPr="001D693F">
              <w:t xml:space="preserve"> – </w:t>
            </w:r>
          </w:p>
        </w:tc>
        <w:tc>
          <w:tcPr>
            <w:tcW w:w="1633" w:type="dxa"/>
          </w:tcPr>
          <w:p w:rsidR="00803BF8" w:rsidRPr="001D693F" w:rsidRDefault="00803BF8" w:rsidP="001D693F">
            <w:pPr>
              <w:pStyle w:val="FinancialsTableText"/>
              <w:jc w:val="right"/>
            </w:pPr>
            <w:r w:rsidRPr="001D693F">
              <w:t xml:space="preserve"> (242)</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Total expenses</w:t>
            </w:r>
          </w:p>
        </w:tc>
        <w:tc>
          <w:tcPr>
            <w:tcW w:w="1843" w:type="dxa"/>
          </w:tcPr>
          <w:p w:rsidR="00803BF8" w:rsidRPr="001D693F" w:rsidRDefault="00803BF8" w:rsidP="001D693F">
            <w:pPr>
              <w:pStyle w:val="FinancialsTableText"/>
              <w:jc w:val="right"/>
              <w:rPr>
                <w:b/>
              </w:rPr>
            </w:pPr>
            <w:r w:rsidRPr="001D693F">
              <w:rPr>
                <w:b/>
              </w:rPr>
              <w:t xml:space="preserve"> 24,474 </w:t>
            </w:r>
          </w:p>
        </w:tc>
        <w:tc>
          <w:tcPr>
            <w:tcW w:w="1843" w:type="dxa"/>
          </w:tcPr>
          <w:p w:rsidR="00803BF8" w:rsidRPr="001D693F" w:rsidRDefault="00803BF8" w:rsidP="001D693F">
            <w:pPr>
              <w:pStyle w:val="FinancialsTableText"/>
              <w:jc w:val="right"/>
              <w:rPr>
                <w:b/>
              </w:rPr>
            </w:pPr>
            <w:r w:rsidRPr="001D693F">
              <w:rPr>
                <w:b/>
              </w:rPr>
              <w:t xml:space="preserve"> 13,565 </w:t>
            </w:r>
          </w:p>
        </w:tc>
        <w:tc>
          <w:tcPr>
            <w:tcW w:w="1633" w:type="dxa"/>
          </w:tcPr>
          <w:p w:rsidR="00803BF8" w:rsidRPr="001D693F" w:rsidRDefault="00803BF8" w:rsidP="001D693F">
            <w:pPr>
              <w:pStyle w:val="FinancialsTableText"/>
              <w:jc w:val="right"/>
              <w:rPr>
                <w:b/>
              </w:rPr>
            </w:pPr>
            <w:r w:rsidRPr="001D693F">
              <w:rPr>
                <w:b/>
              </w:rPr>
              <w:t xml:space="preserve"> (10,909)</w:t>
            </w:r>
          </w:p>
        </w:tc>
      </w:tr>
      <w:tr w:rsidR="00803BF8" w:rsidRPr="00803BF8" w:rsidTr="00650B88">
        <w:trPr>
          <w:trHeight w:val="60"/>
        </w:trPr>
        <w:tc>
          <w:tcPr>
            <w:tcW w:w="9855" w:type="dxa"/>
            <w:gridSpan w:val="4"/>
          </w:tcPr>
          <w:p w:rsidR="00803BF8" w:rsidRPr="001D693F" w:rsidRDefault="00803BF8" w:rsidP="001A7249">
            <w:pPr>
              <w:pStyle w:val="FinancialsTableH2"/>
            </w:pPr>
            <w:r w:rsidRPr="001D693F">
              <w:t>Own-source Income</w:t>
            </w:r>
          </w:p>
        </w:tc>
      </w:tr>
      <w:tr w:rsidR="00803BF8" w:rsidRPr="00803BF8" w:rsidTr="00650B88">
        <w:trPr>
          <w:trHeight w:val="60"/>
        </w:trPr>
        <w:tc>
          <w:tcPr>
            <w:tcW w:w="9855" w:type="dxa"/>
            <w:gridSpan w:val="4"/>
          </w:tcPr>
          <w:p w:rsidR="00803BF8" w:rsidRPr="001D693F" w:rsidRDefault="00803BF8" w:rsidP="001D693F">
            <w:pPr>
              <w:pStyle w:val="FinancialsTableText"/>
            </w:pPr>
            <w:r w:rsidRPr="001D693F">
              <w:t>Own-source revenue</w:t>
            </w:r>
          </w:p>
        </w:tc>
      </w:tr>
      <w:tr w:rsidR="00803BF8" w:rsidRPr="00803BF8" w:rsidTr="006E010C">
        <w:trPr>
          <w:trHeight w:val="60"/>
        </w:trPr>
        <w:tc>
          <w:tcPr>
            <w:tcW w:w="4536" w:type="dxa"/>
          </w:tcPr>
          <w:p w:rsidR="00803BF8" w:rsidRPr="001D693F" w:rsidRDefault="00803BF8" w:rsidP="001A7249">
            <w:pPr>
              <w:pStyle w:val="FinancialsTableTextIndented"/>
            </w:pPr>
            <w:r w:rsidRPr="001D693F">
              <w:t>Sale of rendering services</w:t>
            </w:r>
          </w:p>
        </w:tc>
        <w:tc>
          <w:tcPr>
            <w:tcW w:w="1843" w:type="dxa"/>
          </w:tcPr>
          <w:p w:rsidR="00803BF8" w:rsidRPr="001D693F" w:rsidRDefault="00803BF8" w:rsidP="001D693F">
            <w:pPr>
              <w:pStyle w:val="FinancialsTableText"/>
              <w:jc w:val="right"/>
            </w:pPr>
            <w:r w:rsidRPr="001D693F">
              <w:t xml:space="preserve"> 2,402 </w:t>
            </w:r>
          </w:p>
        </w:tc>
        <w:tc>
          <w:tcPr>
            <w:tcW w:w="1843" w:type="dxa"/>
          </w:tcPr>
          <w:p w:rsidR="00803BF8" w:rsidRPr="001D693F" w:rsidRDefault="00803BF8" w:rsidP="001D693F">
            <w:pPr>
              <w:pStyle w:val="FinancialsTableText"/>
              <w:jc w:val="right"/>
            </w:pPr>
            <w:r w:rsidRPr="001D693F">
              <w:t xml:space="preserve"> 314 </w:t>
            </w:r>
          </w:p>
        </w:tc>
        <w:tc>
          <w:tcPr>
            <w:tcW w:w="1633" w:type="dxa"/>
          </w:tcPr>
          <w:p w:rsidR="00803BF8" w:rsidRPr="001D693F" w:rsidRDefault="00803BF8" w:rsidP="001D693F">
            <w:pPr>
              <w:pStyle w:val="FinancialsTableText"/>
              <w:jc w:val="right"/>
            </w:pPr>
            <w:r w:rsidRPr="001D693F">
              <w:t xml:space="preserve"> (2,088)</w:t>
            </w:r>
          </w:p>
        </w:tc>
      </w:tr>
      <w:tr w:rsidR="00803BF8" w:rsidRPr="00803BF8" w:rsidTr="006E010C">
        <w:trPr>
          <w:trHeight w:val="60"/>
        </w:trPr>
        <w:tc>
          <w:tcPr>
            <w:tcW w:w="4536" w:type="dxa"/>
          </w:tcPr>
          <w:p w:rsidR="00803BF8" w:rsidRPr="001D693F" w:rsidRDefault="00803BF8" w:rsidP="001A7249">
            <w:pPr>
              <w:pStyle w:val="FinancialsTableTextIndented"/>
            </w:pPr>
            <w:r w:rsidRPr="001D693F">
              <w:t>Interest</w:t>
            </w:r>
          </w:p>
        </w:tc>
        <w:tc>
          <w:tcPr>
            <w:tcW w:w="1843" w:type="dxa"/>
          </w:tcPr>
          <w:p w:rsidR="00803BF8" w:rsidRPr="001D693F" w:rsidRDefault="00803BF8" w:rsidP="001D693F">
            <w:pPr>
              <w:pStyle w:val="FinancialsTableText"/>
              <w:jc w:val="right"/>
            </w:pPr>
            <w:r w:rsidRPr="001D693F">
              <w:t xml:space="preserve"> 34 </w:t>
            </w:r>
          </w:p>
        </w:tc>
        <w:tc>
          <w:tcPr>
            <w:tcW w:w="1843" w:type="dxa"/>
          </w:tcPr>
          <w:p w:rsidR="00803BF8" w:rsidRPr="001D693F" w:rsidRDefault="00803BF8" w:rsidP="001D693F">
            <w:pPr>
              <w:pStyle w:val="FinancialsTableText"/>
              <w:jc w:val="right"/>
            </w:pPr>
            <w:r w:rsidRPr="001D693F">
              <w:t xml:space="preserve"> – </w:t>
            </w:r>
          </w:p>
        </w:tc>
        <w:tc>
          <w:tcPr>
            <w:tcW w:w="1633" w:type="dxa"/>
          </w:tcPr>
          <w:p w:rsidR="00803BF8" w:rsidRPr="001D693F" w:rsidRDefault="00803BF8" w:rsidP="001D693F">
            <w:pPr>
              <w:pStyle w:val="FinancialsTableText"/>
              <w:jc w:val="right"/>
            </w:pPr>
            <w:r w:rsidRPr="001D693F">
              <w:t xml:space="preserve"> (34)</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Total own-source revenue</w:t>
            </w:r>
          </w:p>
        </w:tc>
        <w:tc>
          <w:tcPr>
            <w:tcW w:w="1843" w:type="dxa"/>
          </w:tcPr>
          <w:p w:rsidR="00803BF8" w:rsidRPr="001D693F" w:rsidRDefault="00803BF8" w:rsidP="001D693F">
            <w:pPr>
              <w:pStyle w:val="FinancialsTableText"/>
              <w:jc w:val="right"/>
              <w:rPr>
                <w:b/>
              </w:rPr>
            </w:pPr>
            <w:r w:rsidRPr="001D693F">
              <w:rPr>
                <w:b/>
              </w:rPr>
              <w:t xml:space="preserve"> 2,436 </w:t>
            </w:r>
          </w:p>
        </w:tc>
        <w:tc>
          <w:tcPr>
            <w:tcW w:w="1843" w:type="dxa"/>
          </w:tcPr>
          <w:p w:rsidR="00803BF8" w:rsidRPr="001D693F" w:rsidRDefault="00803BF8" w:rsidP="001D693F">
            <w:pPr>
              <w:pStyle w:val="FinancialsTableText"/>
              <w:jc w:val="right"/>
              <w:rPr>
                <w:b/>
              </w:rPr>
            </w:pPr>
            <w:r w:rsidRPr="001D693F">
              <w:rPr>
                <w:b/>
              </w:rPr>
              <w:t xml:space="preserve"> 314 </w:t>
            </w:r>
          </w:p>
        </w:tc>
        <w:tc>
          <w:tcPr>
            <w:tcW w:w="1633" w:type="dxa"/>
          </w:tcPr>
          <w:p w:rsidR="00803BF8" w:rsidRPr="001D693F" w:rsidRDefault="00803BF8" w:rsidP="001D693F">
            <w:pPr>
              <w:pStyle w:val="FinancialsTableText"/>
              <w:jc w:val="right"/>
              <w:rPr>
                <w:b/>
              </w:rPr>
            </w:pPr>
            <w:r w:rsidRPr="001D693F">
              <w:rPr>
                <w:b/>
              </w:rPr>
              <w:t xml:space="preserve"> (2,122)</w:t>
            </w:r>
          </w:p>
        </w:tc>
      </w:tr>
      <w:tr w:rsidR="00803BF8" w:rsidRPr="00803BF8" w:rsidTr="00650B88">
        <w:trPr>
          <w:trHeight w:val="60"/>
        </w:trPr>
        <w:tc>
          <w:tcPr>
            <w:tcW w:w="9855" w:type="dxa"/>
            <w:gridSpan w:val="4"/>
          </w:tcPr>
          <w:p w:rsidR="00803BF8" w:rsidRPr="001D693F" w:rsidRDefault="00803BF8" w:rsidP="001A7249">
            <w:pPr>
              <w:pStyle w:val="FinancialsTableH2"/>
            </w:pPr>
            <w:r w:rsidRPr="001D693F">
              <w:t>Gains</w:t>
            </w:r>
          </w:p>
        </w:tc>
      </w:tr>
      <w:tr w:rsidR="00803BF8" w:rsidRPr="00803BF8" w:rsidTr="006E010C">
        <w:trPr>
          <w:trHeight w:val="60"/>
        </w:trPr>
        <w:tc>
          <w:tcPr>
            <w:tcW w:w="4536" w:type="dxa"/>
          </w:tcPr>
          <w:p w:rsidR="00803BF8" w:rsidRPr="001D693F" w:rsidRDefault="00803BF8" w:rsidP="001A7249">
            <w:pPr>
              <w:pStyle w:val="FinancialsTableTextIndented"/>
            </w:pPr>
            <w:r w:rsidRPr="001D693F">
              <w:t>Other gains</w:t>
            </w:r>
          </w:p>
        </w:tc>
        <w:tc>
          <w:tcPr>
            <w:tcW w:w="1843" w:type="dxa"/>
          </w:tcPr>
          <w:p w:rsidR="00803BF8" w:rsidRPr="001D693F" w:rsidRDefault="00803BF8" w:rsidP="001D693F">
            <w:pPr>
              <w:pStyle w:val="FinancialsTableText"/>
              <w:jc w:val="right"/>
            </w:pPr>
            <w:r w:rsidRPr="001D693F">
              <w:t xml:space="preserve"> 58 </w:t>
            </w:r>
          </w:p>
        </w:tc>
        <w:tc>
          <w:tcPr>
            <w:tcW w:w="1843" w:type="dxa"/>
          </w:tcPr>
          <w:p w:rsidR="00803BF8" w:rsidRPr="001D693F" w:rsidRDefault="00803BF8" w:rsidP="001D693F">
            <w:pPr>
              <w:pStyle w:val="FinancialsTableText"/>
              <w:jc w:val="right"/>
            </w:pPr>
            <w:r w:rsidRPr="001D693F">
              <w:t xml:space="preserve"> – </w:t>
            </w:r>
          </w:p>
        </w:tc>
        <w:tc>
          <w:tcPr>
            <w:tcW w:w="1633" w:type="dxa"/>
          </w:tcPr>
          <w:p w:rsidR="00803BF8" w:rsidRPr="001D693F" w:rsidRDefault="00803BF8" w:rsidP="001D693F">
            <w:pPr>
              <w:pStyle w:val="FinancialsTableText"/>
              <w:jc w:val="right"/>
            </w:pPr>
            <w:r w:rsidRPr="001D693F">
              <w:t xml:space="preserve"> (58)</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Total gains</w:t>
            </w:r>
          </w:p>
        </w:tc>
        <w:tc>
          <w:tcPr>
            <w:tcW w:w="1843" w:type="dxa"/>
          </w:tcPr>
          <w:p w:rsidR="00803BF8" w:rsidRPr="001D693F" w:rsidRDefault="00803BF8" w:rsidP="001D693F">
            <w:pPr>
              <w:pStyle w:val="FinancialsTableText"/>
              <w:jc w:val="right"/>
              <w:rPr>
                <w:b/>
              </w:rPr>
            </w:pPr>
            <w:r w:rsidRPr="001D693F">
              <w:rPr>
                <w:b/>
              </w:rPr>
              <w:t xml:space="preserve"> 58 </w:t>
            </w:r>
          </w:p>
        </w:tc>
        <w:tc>
          <w:tcPr>
            <w:tcW w:w="1843" w:type="dxa"/>
          </w:tcPr>
          <w:p w:rsidR="00803BF8" w:rsidRPr="001D693F" w:rsidRDefault="00803BF8" w:rsidP="001D693F">
            <w:pPr>
              <w:pStyle w:val="FinancialsTableText"/>
              <w:jc w:val="right"/>
              <w:rPr>
                <w:b/>
              </w:rPr>
            </w:pPr>
            <w:r w:rsidRPr="001D693F">
              <w:rPr>
                <w:b/>
              </w:rPr>
              <w:t xml:space="preserve"> – </w:t>
            </w:r>
          </w:p>
        </w:tc>
        <w:tc>
          <w:tcPr>
            <w:tcW w:w="1633" w:type="dxa"/>
          </w:tcPr>
          <w:p w:rsidR="00803BF8" w:rsidRPr="001D693F" w:rsidRDefault="00803BF8" w:rsidP="001D693F">
            <w:pPr>
              <w:pStyle w:val="FinancialsTableText"/>
              <w:jc w:val="right"/>
              <w:rPr>
                <w:b/>
              </w:rPr>
            </w:pPr>
            <w:r w:rsidRPr="001D693F">
              <w:rPr>
                <w:b/>
              </w:rPr>
              <w:t xml:space="preserve"> (58)</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Total own-source income</w:t>
            </w:r>
          </w:p>
        </w:tc>
        <w:tc>
          <w:tcPr>
            <w:tcW w:w="1843" w:type="dxa"/>
          </w:tcPr>
          <w:p w:rsidR="00803BF8" w:rsidRPr="001D693F" w:rsidRDefault="00803BF8" w:rsidP="001D693F">
            <w:pPr>
              <w:pStyle w:val="FinancialsTableText"/>
              <w:jc w:val="right"/>
              <w:rPr>
                <w:b/>
              </w:rPr>
            </w:pPr>
            <w:r w:rsidRPr="001D693F">
              <w:rPr>
                <w:b/>
              </w:rPr>
              <w:t xml:space="preserve"> 2,494 </w:t>
            </w:r>
          </w:p>
        </w:tc>
        <w:tc>
          <w:tcPr>
            <w:tcW w:w="1843" w:type="dxa"/>
          </w:tcPr>
          <w:p w:rsidR="00803BF8" w:rsidRPr="001D693F" w:rsidRDefault="00803BF8" w:rsidP="001D693F">
            <w:pPr>
              <w:pStyle w:val="FinancialsTableText"/>
              <w:jc w:val="right"/>
              <w:rPr>
                <w:b/>
              </w:rPr>
            </w:pPr>
            <w:r w:rsidRPr="001D693F">
              <w:rPr>
                <w:b/>
              </w:rPr>
              <w:t xml:space="preserve"> 314 </w:t>
            </w:r>
          </w:p>
        </w:tc>
        <w:tc>
          <w:tcPr>
            <w:tcW w:w="1633" w:type="dxa"/>
          </w:tcPr>
          <w:p w:rsidR="00803BF8" w:rsidRPr="001D693F" w:rsidRDefault="00803BF8" w:rsidP="001D693F">
            <w:pPr>
              <w:pStyle w:val="FinancialsTableText"/>
              <w:jc w:val="right"/>
              <w:rPr>
                <w:b/>
              </w:rPr>
            </w:pPr>
            <w:r w:rsidRPr="001D693F">
              <w:rPr>
                <w:b/>
              </w:rPr>
              <w:t xml:space="preserve"> (2,180)</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Net cost of services</w:t>
            </w:r>
          </w:p>
        </w:tc>
        <w:tc>
          <w:tcPr>
            <w:tcW w:w="1843" w:type="dxa"/>
          </w:tcPr>
          <w:p w:rsidR="00803BF8" w:rsidRPr="001D693F" w:rsidRDefault="00803BF8" w:rsidP="001D693F">
            <w:pPr>
              <w:pStyle w:val="FinancialsTableText"/>
              <w:jc w:val="right"/>
              <w:rPr>
                <w:b/>
              </w:rPr>
            </w:pPr>
            <w:r w:rsidRPr="001D693F">
              <w:rPr>
                <w:b/>
              </w:rPr>
              <w:t xml:space="preserve"> 21,980 </w:t>
            </w:r>
          </w:p>
        </w:tc>
        <w:tc>
          <w:tcPr>
            <w:tcW w:w="1843" w:type="dxa"/>
          </w:tcPr>
          <w:p w:rsidR="00803BF8" w:rsidRPr="001D693F" w:rsidRDefault="00803BF8" w:rsidP="001D693F">
            <w:pPr>
              <w:pStyle w:val="FinancialsTableText"/>
              <w:jc w:val="right"/>
              <w:rPr>
                <w:b/>
              </w:rPr>
            </w:pPr>
            <w:r w:rsidRPr="001D693F">
              <w:rPr>
                <w:b/>
              </w:rPr>
              <w:t xml:space="preserve"> 13,251 </w:t>
            </w:r>
          </w:p>
        </w:tc>
        <w:tc>
          <w:tcPr>
            <w:tcW w:w="1633" w:type="dxa"/>
          </w:tcPr>
          <w:p w:rsidR="00803BF8" w:rsidRPr="001D693F" w:rsidRDefault="00803BF8" w:rsidP="001D693F">
            <w:pPr>
              <w:pStyle w:val="FinancialsTableText"/>
              <w:jc w:val="right"/>
              <w:rPr>
                <w:b/>
              </w:rPr>
            </w:pPr>
            <w:r w:rsidRPr="001D693F">
              <w:rPr>
                <w:b/>
              </w:rPr>
              <w:t xml:space="preserve"> (8,729)</w:t>
            </w:r>
          </w:p>
        </w:tc>
      </w:tr>
      <w:tr w:rsidR="00803BF8" w:rsidRPr="00803BF8" w:rsidTr="006E010C">
        <w:trPr>
          <w:trHeight w:val="60"/>
        </w:trPr>
        <w:tc>
          <w:tcPr>
            <w:tcW w:w="4536" w:type="dxa"/>
          </w:tcPr>
          <w:p w:rsidR="00803BF8" w:rsidRPr="001D693F" w:rsidRDefault="00803BF8" w:rsidP="001D693F">
            <w:pPr>
              <w:pStyle w:val="FinancialsTableText"/>
            </w:pPr>
            <w:r w:rsidRPr="001D693F">
              <w:t>Revenue from Government</w:t>
            </w:r>
          </w:p>
        </w:tc>
        <w:tc>
          <w:tcPr>
            <w:tcW w:w="1843" w:type="dxa"/>
          </w:tcPr>
          <w:p w:rsidR="00803BF8" w:rsidRPr="001D693F" w:rsidRDefault="00803BF8" w:rsidP="001D693F">
            <w:pPr>
              <w:pStyle w:val="FinancialsTableText"/>
              <w:jc w:val="right"/>
            </w:pPr>
            <w:r w:rsidRPr="001D693F">
              <w:t xml:space="preserve"> 25,726 </w:t>
            </w:r>
          </w:p>
        </w:tc>
        <w:tc>
          <w:tcPr>
            <w:tcW w:w="1843" w:type="dxa"/>
          </w:tcPr>
          <w:p w:rsidR="00803BF8" w:rsidRPr="001D693F" w:rsidRDefault="00803BF8" w:rsidP="001D693F">
            <w:pPr>
              <w:pStyle w:val="FinancialsTableText"/>
              <w:jc w:val="right"/>
            </w:pPr>
            <w:r w:rsidRPr="001D693F">
              <w:t xml:space="preserve"> 13,251 </w:t>
            </w:r>
          </w:p>
        </w:tc>
        <w:tc>
          <w:tcPr>
            <w:tcW w:w="1633" w:type="dxa"/>
          </w:tcPr>
          <w:p w:rsidR="00803BF8" w:rsidRPr="001D693F" w:rsidRDefault="00803BF8" w:rsidP="001D693F">
            <w:pPr>
              <w:pStyle w:val="FinancialsTableText"/>
              <w:jc w:val="right"/>
            </w:pPr>
            <w:r w:rsidRPr="001D693F">
              <w:t xml:space="preserve"> (12,475)</w:t>
            </w:r>
          </w:p>
        </w:tc>
      </w:tr>
      <w:tr w:rsidR="00803BF8" w:rsidRPr="00803BF8" w:rsidTr="006E010C">
        <w:trPr>
          <w:trHeight w:val="60"/>
        </w:trPr>
        <w:tc>
          <w:tcPr>
            <w:tcW w:w="4536" w:type="dxa"/>
          </w:tcPr>
          <w:p w:rsidR="00803BF8" w:rsidRPr="001D693F" w:rsidRDefault="00803BF8" w:rsidP="001D693F">
            <w:pPr>
              <w:pStyle w:val="FinancialsTableText"/>
              <w:rPr>
                <w:b/>
              </w:rPr>
            </w:pPr>
            <w:r w:rsidRPr="001D693F">
              <w:rPr>
                <w:b/>
              </w:rPr>
              <w:t>Surplus after income tax</w:t>
            </w:r>
          </w:p>
        </w:tc>
        <w:tc>
          <w:tcPr>
            <w:tcW w:w="1843" w:type="dxa"/>
          </w:tcPr>
          <w:p w:rsidR="00803BF8" w:rsidRPr="001D693F" w:rsidRDefault="00803BF8" w:rsidP="001D693F">
            <w:pPr>
              <w:pStyle w:val="FinancialsTableText"/>
              <w:jc w:val="right"/>
              <w:rPr>
                <w:b/>
              </w:rPr>
            </w:pPr>
            <w:r w:rsidRPr="001D693F">
              <w:rPr>
                <w:b/>
              </w:rPr>
              <w:t xml:space="preserve"> 3,746 </w:t>
            </w:r>
          </w:p>
        </w:tc>
        <w:tc>
          <w:tcPr>
            <w:tcW w:w="1843" w:type="dxa"/>
          </w:tcPr>
          <w:p w:rsidR="00803BF8" w:rsidRPr="001D693F" w:rsidRDefault="00803BF8" w:rsidP="001D693F">
            <w:pPr>
              <w:pStyle w:val="FinancialsTableText"/>
              <w:jc w:val="right"/>
              <w:rPr>
                <w:b/>
              </w:rPr>
            </w:pPr>
            <w:r w:rsidRPr="001D693F">
              <w:rPr>
                <w:b/>
              </w:rPr>
              <w:t xml:space="preserve"> – </w:t>
            </w:r>
          </w:p>
        </w:tc>
        <w:tc>
          <w:tcPr>
            <w:tcW w:w="1633" w:type="dxa"/>
          </w:tcPr>
          <w:p w:rsidR="00803BF8" w:rsidRPr="001D693F" w:rsidRDefault="00803BF8" w:rsidP="001D693F">
            <w:pPr>
              <w:pStyle w:val="FinancialsTableText"/>
              <w:jc w:val="right"/>
              <w:rPr>
                <w:b/>
              </w:rPr>
            </w:pPr>
            <w:r w:rsidRPr="001D693F">
              <w:rPr>
                <w:b/>
              </w:rPr>
              <w:t xml:space="preserve"> (3,745)</w:t>
            </w:r>
          </w:p>
        </w:tc>
      </w:tr>
    </w:tbl>
    <w:p w:rsidR="009A6127" w:rsidRPr="009A6127" w:rsidRDefault="009A6127" w:rsidP="009A6127">
      <w:pPr>
        <w:pStyle w:val="SourceNotesText"/>
        <w:rPr>
          <w:b/>
        </w:rPr>
      </w:pPr>
      <w:r w:rsidRPr="009A6127">
        <w:rPr>
          <w:b/>
        </w:rPr>
        <w:t>Notes</w:t>
      </w:r>
    </w:p>
    <w:p w:rsidR="009A6127" w:rsidRPr="009A6127" w:rsidRDefault="009A6127" w:rsidP="009A6127">
      <w:pPr>
        <w:pStyle w:val="SourceNotesText"/>
        <w:rPr>
          <w:b/>
        </w:rPr>
      </w:pPr>
      <w:r w:rsidRPr="009A6127">
        <w:rPr>
          <w:b/>
        </w:rPr>
        <w:t>1. Variance analysis</w:t>
      </w:r>
    </w:p>
    <w:p w:rsidR="009A6127" w:rsidRDefault="009A6127" w:rsidP="009A6127">
      <w:pPr>
        <w:pStyle w:val="SourceNotesText"/>
      </w:pPr>
      <w:r>
        <w:t>Employee benefits: IHPA ran core business with lower than approved staffing levels due to restrictions in recruitment and a balancing of work effort with contractors.</w:t>
      </w:r>
    </w:p>
    <w:p w:rsidR="009A6127" w:rsidRDefault="009A6127" w:rsidP="009A6127">
      <w:pPr>
        <w:pStyle w:val="SourceNotesText"/>
      </w:pPr>
      <w:r>
        <w:t xml:space="preserve">Supplier expenses variance was funded by an appropriation amount of $12,277,000 originally budgeted in Administered. </w:t>
      </w:r>
    </w:p>
    <w:p w:rsidR="009A6127" w:rsidRDefault="009A6127" w:rsidP="009A6127">
      <w:pPr>
        <w:pStyle w:val="SourceNotesText"/>
      </w:pPr>
      <w:r>
        <w:t>Depreciation was higher than planned due to increased depreciation arising from an expanded use of analytical software tools and amortisation of intellectual property purchased to support classification development.</w:t>
      </w:r>
    </w:p>
    <w:p w:rsidR="009A6127" w:rsidRDefault="009A6127" w:rsidP="009A6127">
      <w:pPr>
        <w:pStyle w:val="SourceNotesText"/>
      </w:pPr>
      <w:r>
        <w:t>Impairment was incurred on an uncollected sales invoice related to sale of Australian Refined Diagnosis Related Groups.</w:t>
      </w:r>
    </w:p>
    <w:p w:rsidR="009A6127" w:rsidRPr="009A6127" w:rsidRDefault="009A6127" w:rsidP="009A6127">
      <w:pPr>
        <w:pStyle w:val="SourceNotesText"/>
        <w:rPr>
          <w:b/>
        </w:rPr>
      </w:pPr>
      <w:r w:rsidRPr="009A6127">
        <w:rPr>
          <w:b/>
        </w:rPr>
        <w:t>Intellectual Property.</w:t>
      </w:r>
    </w:p>
    <w:p w:rsidR="009A6127" w:rsidRDefault="009A6127" w:rsidP="009A6127">
      <w:pPr>
        <w:pStyle w:val="SourceNotesText"/>
      </w:pPr>
      <w:r>
        <w:t>Agency receipts were higher as a result of unplanned; sales of Diagnostic Resource Group Intellectual Property, refund from the portfolio of the development costs of activity based clinical trials and recognition of revenue from sale of publications.</w:t>
      </w:r>
    </w:p>
    <w:p w:rsidR="009D1E42" w:rsidRDefault="009D1E42" w:rsidP="00645CCB">
      <w:r>
        <w:br w:type="page"/>
      </w:r>
    </w:p>
    <w:p w:rsidR="009D1E42" w:rsidRDefault="009D1E42" w:rsidP="009D1E42">
      <w:pPr>
        <w:pStyle w:val="FinancialsH2"/>
      </w:pPr>
      <w:bookmarkStart w:id="43" w:name="_Toc433193223"/>
      <w:r>
        <w:t>Statement of financial position</w:t>
      </w:r>
      <w:bookmarkEnd w:id="43"/>
    </w:p>
    <w:p w:rsidR="009D1E42" w:rsidRDefault="009D1E42" w:rsidP="009D1E42">
      <w:pPr>
        <w:spacing w:before="0"/>
      </w:pPr>
      <w:r>
        <w:t>as at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Statement of financial position as at 30 June 2015"/>
      </w:tblPr>
      <w:tblGrid>
        <w:gridCol w:w="4536"/>
        <w:gridCol w:w="1843"/>
        <w:gridCol w:w="1843"/>
        <w:gridCol w:w="1633"/>
      </w:tblGrid>
      <w:tr w:rsidR="00682AFC" w:rsidRPr="00803BF8" w:rsidTr="006E010C">
        <w:trPr>
          <w:cnfStyle w:val="100000000000" w:firstRow="1" w:lastRow="0" w:firstColumn="0" w:lastColumn="0" w:oddVBand="0" w:evenVBand="0" w:oddHBand="0" w:evenHBand="0" w:firstRowFirstColumn="0" w:firstRowLastColumn="0" w:lastRowFirstColumn="0" w:lastRowLastColumn="0"/>
          <w:trHeight w:val="60"/>
        </w:trPr>
        <w:tc>
          <w:tcPr>
            <w:tcW w:w="4536" w:type="dxa"/>
          </w:tcPr>
          <w:p w:rsidR="00682AFC" w:rsidRPr="00803BF8" w:rsidRDefault="00682AFC" w:rsidP="00391F86">
            <w:pPr>
              <w:pStyle w:val="FinancialsTableText"/>
            </w:pPr>
          </w:p>
        </w:tc>
        <w:tc>
          <w:tcPr>
            <w:tcW w:w="1843" w:type="dxa"/>
          </w:tcPr>
          <w:p w:rsidR="00682AFC" w:rsidRPr="00803BF8" w:rsidRDefault="00682AFC" w:rsidP="00391F86">
            <w:pPr>
              <w:pStyle w:val="FinancialsTableText"/>
              <w:jc w:val="right"/>
              <w:rPr>
                <w:bCs/>
                <w:lang w:val="en-GB"/>
              </w:rPr>
            </w:pPr>
            <w:r w:rsidRPr="00803BF8">
              <w:rPr>
                <w:bCs/>
                <w:lang w:val="en-GB"/>
              </w:rPr>
              <w:t>Budget estimate</w:t>
            </w:r>
          </w:p>
          <w:p w:rsidR="00682AFC" w:rsidRPr="001D693F" w:rsidRDefault="00682AFC" w:rsidP="00391F86">
            <w:pPr>
              <w:pStyle w:val="FinancialsTableText"/>
              <w:jc w:val="right"/>
              <w:rPr>
                <w:bCs/>
                <w:lang w:val="en-GB"/>
              </w:rPr>
            </w:pPr>
            <w:r w:rsidRPr="00803BF8">
              <w:rPr>
                <w:bCs/>
                <w:lang w:val="en-GB"/>
              </w:rPr>
              <w:t xml:space="preserve">Actual </w:t>
            </w:r>
            <w:r>
              <w:rPr>
                <w:bCs/>
                <w:lang w:val="en-GB"/>
              </w:rPr>
              <w:t>2015</w:t>
            </w:r>
            <w:r>
              <w:rPr>
                <w:bCs/>
                <w:lang w:val="en-GB"/>
              </w:rPr>
              <w:br/>
            </w:r>
            <w:r w:rsidRPr="001D693F">
              <w:rPr>
                <w:b w:val="0"/>
                <w:lang w:val="en-GB"/>
              </w:rPr>
              <w:t>$000</w:t>
            </w:r>
          </w:p>
        </w:tc>
        <w:tc>
          <w:tcPr>
            <w:tcW w:w="1843" w:type="dxa"/>
          </w:tcPr>
          <w:p w:rsidR="00682AFC" w:rsidRPr="00803BF8" w:rsidRDefault="00682AFC" w:rsidP="00391F86">
            <w:pPr>
              <w:pStyle w:val="FinancialsTableText"/>
              <w:jc w:val="right"/>
              <w:rPr>
                <w:bCs/>
                <w:lang w:val="en-GB"/>
              </w:rPr>
            </w:pPr>
            <w:r w:rsidRPr="00803BF8">
              <w:rPr>
                <w:bCs/>
                <w:lang w:val="en-GB"/>
              </w:rPr>
              <w:t>Budget estimate</w:t>
            </w:r>
          </w:p>
          <w:p w:rsidR="00682AFC" w:rsidRPr="00803BF8" w:rsidRDefault="00682AFC" w:rsidP="00391F86">
            <w:pPr>
              <w:pStyle w:val="FinancialsTableText"/>
              <w:jc w:val="right"/>
              <w:rPr>
                <w:lang w:val="en-GB"/>
              </w:rPr>
            </w:pPr>
            <w:r w:rsidRPr="00803BF8">
              <w:rPr>
                <w:bCs/>
                <w:lang w:val="en-GB"/>
              </w:rPr>
              <w:t>Original 2015</w:t>
            </w:r>
            <w:r>
              <w:rPr>
                <w:bCs/>
                <w:lang w:val="en-GB"/>
              </w:rPr>
              <w:br/>
            </w:r>
            <w:r w:rsidRPr="001D693F">
              <w:rPr>
                <w:b w:val="0"/>
                <w:lang w:val="en-GB"/>
              </w:rPr>
              <w:t>$000</w:t>
            </w:r>
          </w:p>
        </w:tc>
        <w:tc>
          <w:tcPr>
            <w:tcW w:w="1633" w:type="dxa"/>
          </w:tcPr>
          <w:p w:rsidR="00682AFC" w:rsidRDefault="00682AFC" w:rsidP="00391F86">
            <w:pPr>
              <w:pStyle w:val="FinancialsTableText"/>
              <w:jc w:val="right"/>
              <w:rPr>
                <w:bCs/>
                <w:vertAlign w:val="superscript"/>
                <w:lang w:val="en-GB"/>
              </w:rPr>
            </w:pPr>
            <w:r w:rsidRPr="00803BF8">
              <w:rPr>
                <w:bCs/>
                <w:lang w:val="en-GB"/>
              </w:rPr>
              <w:t>Variance</w:t>
            </w:r>
            <w:r w:rsidRPr="00803BF8">
              <w:rPr>
                <w:bCs/>
                <w:vertAlign w:val="superscript"/>
                <w:lang w:val="en-GB"/>
              </w:rPr>
              <w:t>1</w:t>
            </w:r>
          </w:p>
          <w:p w:rsidR="00682AFC" w:rsidRPr="00803BF8" w:rsidRDefault="00682AFC" w:rsidP="00391F86">
            <w:pPr>
              <w:pStyle w:val="FinancialsTableText"/>
              <w:jc w:val="right"/>
              <w:rPr>
                <w:lang w:val="en-GB"/>
              </w:rPr>
            </w:pPr>
            <w:r w:rsidRPr="00803BF8">
              <w:rPr>
                <w:bCs/>
                <w:lang w:val="en-GB"/>
              </w:rPr>
              <w:t>2015</w:t>
            </w:r>
            <w:r>
              <w:rPr>
                <w:bCs/>
                <w:lang w:val="en-GB"/>
              </w:rPr>
              <w:br/>
            </w:r>
            <w:r w:rsidRPr="001D693F">
              <w:rPr>
                <w:b w:val="0"/>
                <w:lang w:val="en-GB"/>
              </w:rPr>
              <w:t>$000</w:t>
            </w:r>
          </w:p>
        </w:tc>
      </w:tr>
      <w:tr w:rsidR="00803BF8" w:rsidRPr="00682AFC" w:rsidTr="00682AFC">
        <w:trPr>
          <w:trHeight w:val="60"/>
        </w:trPr>
        <w:tc>
          <w:tcPr>
            <w:tcW w:w="9855" w:type="dxa"/>
            <w:gridSpan w:val="4"/>
          </w:tcPr>
          <w:p w:rsidR="00803BF8" w:rsidRPr="00682AFC" w:rsidRDefault="00803BF8" w:rsidP="00682AFC">
            <w:pPr>
              <w:pStyle w:val="FinancialsTableH1"/>
            </w:pPr>
            <w:r w:rsidRPr="00682AFC">
              <w:t>Assets</w:t>
            </w:r>
          </w:p>
        </w:tc>
      </w:tr>
      <w:tr w:rsidR="00803BF8" w:rsidRPr="00682AFC" w:rsidTr="00682AFC">
        <w:trPr>
          <w:trHeight w:val="60"/>
        </w:trPr>
        <w:tc>
          <w:tcPr>
            <w:tcW w:w="9855" w:type="dxa"/>
            <w:gridSpan w:val="4"/>
          </w:tcPr>
          <w:p w:rsidR="00803BF8" w:rsidRPr="00682AFC" w:rsidRDefault="00803BF8" w:rsidP="00682AFC">
            <w:pPr>
              <w:pStyle w:val="FinancialsTableH2"/>
            </w:pPr>
            <w:r w:rsidRPr="00682AFC">
              <w:t>Financial assets</w:t>
            </w:r>
          </w:p>
        </w:tc>
      </w:tr>
      <w:tr w:rsidR="00803BF8" w:rsidRPr="00682AFC" w:rsidTr="006E010C">
        <w:trPr>
          <w:trHeight w:val="60"/>
        </w:trPr>
        <w:tc>
          <w:tcPr>
            <w:tcW w:w="4536" w:type="dxa"/>
          </w:tcPr>
          <w:p w:rsidR="00803BF8" w:rsidRPr="00682AFC" w:rsidRDefault="00803BF8" w:rsidP="00682AFC">
            <w:pPr>
              <w:pStyle w:val="FinancialsTableTextIndented"/>
            </w:pPr>
            <w:r w:rsidRPr="00682AFC">
              <w:t>Cash and cash equivalents</w:t>
            </w:r>
          </w:p>
        </w:tc>
        <w:tc>
          <w:tcPr>
            <w:tcW w:w="1843" w:type="dxa"/>
          </w:tcPr>
          <w:p w:rsidR="00803BF8" w:rsidRPr="00682AFC" w:rsidRDefault="00803BF8" w:rsidP="00EA4DC5">
            <w:pPr>
              <w:pStyle w:val="FinancialsTableText"/>
              <w:jc w:val="right"/>
            </w:pPr>
            <w:r w:rsidRPr="00682AFC">
              <w:t xml:space="preserve"> 4,743 </w:t>
            </w:r>
          </w:p>
        </w:tc>
        <w:tc>
          <w:tcPr>
            <w:tcW w:w="1843" w:type="dxa"/>
          </w:tcPr>
          <w:p w:rsidR="00803BF8" w:rsidRPr="00682AFC" w:rsidRDefault="00803BF8" w:rsidP="00EA4DC5">
            <w:pPr>
              <w:pStyle w:val="FinancialsTableText"/>
              <w:jc w:val="right"/>
            </w:pPr>
            <w:r w:rsidRPr="00682AFC">
              <w:t xml:space="preserve"> 138 </w:t>
            </w:r>
          </w:p>
        </w:tc>
        <w:tc>
          <w:tcPr>
            <w:tcW w:w="1633" w:type="dxa"/>
          </w:tcPr>
          <w:p w:rsidR="00803BF8" w:rsidRPr="00682AFC" w:rsidRDefault="00803BF8" w:rsidP="00EA4DC5">
            <w:pPr>
              <w:pStyle w:val="FinancialsTableText"/>
              <w:jc w:val="right"/>
            </w:pPr>
            <w:r w:rsidRPr="00682AFC">
              <w:t xml:space="preserve"> 4,605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Trade and other receivables</w:t>
            </w:r>
          </w:p>
        </w:tc>
        <w:tc>
          <w:tcPr>
            <w:tcW w:w="1843" w:type="dxa"/>
          </w:tcPr>
          <w:p w:rsidR="00803BF8" w:rsidRPr="00682AFC" w:rsidRDefault="00803BF8" w:rsidP="00EA4DC5">
            <w:pPr>
              <w:pStyle w:val="FinancialsTableText"/>
              <w:jc w:val="right"/>
            </w:pPr>
            <w:r w:rsidRPr="00682AFC">
              <w:t xml:space="preserve"> 19,864 </w:t>
            </w:r>
          </w:p>
        </w:tc>
        <w:tc>
          <w:tcPr>
            <w:tcW w:w="1843" w:type="dxa"/>
          </w:tcPr>
          <w:p w:rsidR="00803BF8" w:rsidRPr="00682AFC" w:rsidRDefault="00803BF8" w:rsidP="00EA4DC5">
            <w:pPr>
              <w:pStyle w:val="FinancialsTableText"/>
              <w:jc w:val="right"/>
            </w:pPr>
            <w:r w:rsidRPr="00682AFC">
              <w:t xml:space="preserve"> 19,809 </w:t>
            </w:r>
          </w:p>
        </w:tc>
        <w:tc>
          <w:tcPr>
            <w:tcW w:w="1633" w:type="dxa"/>
          </w:tcPr>
          <w:p w:rsidR="00803BF8" w:rsidRPr="00682AFC" w:rsidRDefault="00803BF8" w:rsidP="00EA4DC5">
            <w:pPr>
              <w:pStyle w:val="FinancialsTableText"/>
              <w:jc w:val="right"/>
            </w:pPr>
            <w:r w:rsidRPr="00682AFC">
              <w:t xml:space="preserve"> 55 </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financial assets</w:t>
            </w:r>
          </w:p>
        </w:tc>
        <w:tc>
          <w:tcPr>
            <w:tcW w:w="1843" w:type="dxa"/>
          </w:tcPr>
          <w:p w:rsidR="00803BF8" w:rsidRPr="00682AFC" w:rsidRDefault="00803BF8" w:rsidP="00EA4DC5">
            <w:pPr>
              <w:pStyle w:val="FinancialsTableText"/>
              <w:jc w:val="right"/>
              <w:rPr>
                <w:b/>
              </w:rPr>
            </w:pPr>
            <w:r w:rsidRPr="00682AFC">
              <w:rPr>
                <w:b/>
              </w:rPr>
              <w:t xml:space="preserve"> 24,607 </w:t>
            </w:r>
          </w:p>
        </w:tc>
        <w:tc>
          <w:tcPr>
            <w:tcW w:w="1843" w:type="dxa"/>
          </w:tcPr>
          <w:p w:rsidR="00803BF8" w:rsidRPr="00682AFC" w:rsidRDefault="00803BF8" w:rsidP="00EA4DC5">
            <w:pPr>
              <w:pStyle w:val="FinancialsTableText"/>
              <w:jc w:val="right"/>
              <w:rPr>
                <w:b/>
              </w:rPr>
            </w:pPr>
            <w:r w:rsidRPr="00682AFC">
              <w:rPr>
                <w:b/>
              </w:rPr>
              <w:t xml:space="preserve"> 19,947 </w:t>
            </w:r>
          </w:p>
        </w:tc>
        <w:tc>
          <w:tcPr>
            <w:tcW w:w="1633" w:type="dxa"/>
          </w:tcPr>
          <w:p w:rsidR="00803BF8" w:rsidRPr="00682AFC" w:rsidRDefault="00803BF8" w:rsidP="00EA4DC5">
            <w:pPr>
              <w:pStyle w:val="FinancialsTableText"/>
              <w:jc w:val="right"/>
              <w:rPr>
                <w:b/>
              </w:rPr>
            </w:pPr>
            <w:r w:rsidRPr="00682AFC">
              <w:rPr>
                <w:b/>
              </w:rPr>
              <w:t xml:space="preserve"> 4,660 </w:t>
            </w:r>
          </w:p>
        </w:tc>
      </w:tr>
      <w:tr w:rsidR="00803BF8" w:rsidRPr="00682AFC" w:rsidTr="00682AFC">
        <w:trPr>
          <w:trHeight w:val="60"/>
        </w:trPr>
        <w:tc>
          <w:tcPr>
            <w:tcW w:w="9855" w:type="dxa"/>
            <w:gridSpan w:val="4"/>
          </w:tcPr>
          <w:p w:rsidR="00803BF8" w:rsidRPr="00682AFC" w:rsidRDefault="00803BF8" w:rsidP="00682AFC">
            <w:pPr>
              <w:pStyle w:val="FinancialsTableH2"/>
            </w:pPr>
            <w:r w:rsidRPr="00682AFC">
              <w:t>Non-financial assets</w:t>
            </w:r>
          </w:p>
        </w:tc>
      </w:tr>
      <w:tr w:rsidR="00803BF8" w:rsidRPr="00682AFC" w:rsidTr="006E010C">
        <w:trPr>
          <w:trHeight w:val="60"/>
        </w:trPr>
        <w:tc>
          <w:tcPr>
            <w:tcW w:w="4536" w:type="dxa"/>
          </w:tcPr>
          <w:p w:rsidR="00803BF8" w:rsidRPr="00682AFC" w:rsidRDefault="00803BF8" w:rsidP="00682AFC">
            <w:pPr>
              <w:pStyle w:val="FinancialsTableTextIndented"/>
            </w:pPr>
            <w:r w:rsidRPr="00682AFC">
              <w:t>Land and buildings</w:t>
            </w:r>
          </w:p>
        </w:tc>
        <w:tc>
          <w:tcPr>
            <w:tcW w:w="1843" w:type="dxa"/>
          </w:tcPr>
          <w:p w:rsidR="00803BF8" w:rsidRPr="00682AFC" w:rsidRDefault="00803BF8" w:rsidP="00EA4DC5">
            <w:pPr>
              <w:pStyle w:val="FinancialsTableText"/>
              <w:jc w:val="right"/>
            </w:pPr>
            <w:r w:rsidRPr="00682AFC">
              <w:t xml:space="preserve"> 596 </w:t>
            </w:r>
          </w:p>
        </w:tc>
        <w:tc>
          <w:tcPr>
            <w:tcW w:w="1843" w:type="dxa"/>
          </w:tcPr>
          <w:p w:rsidR="00803BF8" w:rsidRPr="00682AFC" w:rsidRDefault="00803BF8" w:rsidP="00EA4DC5">
            <w:pPr>
              <w:pStyle w:val="FinancialsTableText"/>
              <w:jc w:val="right"/>
            </w:pPr>
            <w:r w:rsidRPr="00682AFC">
              <w:t xml:space="preserve"> 561 </w:t>
            </w:r>
          </w:p>
        </w:tc>
        <w:tc>
          <w:tcPr>
            <w:tcW w:w="1633" w:type="dxa"/>
          </w:tcPr>
          <w:p w:rsidR="00803BF8" w:rsidRPr="00682AFC" w:rsidRDefault="00803BF8" w:rsidP="00EA4DC5">
            <w:pPr>
              <w:pStyle w:val="FinancialsTableText"/>
              <w:jc w:val="right"/>
            </w:pPr>
            <w:r w:rsidRPr="00682AFC">
              <w:t xml:space="preserve"> 35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Property, plant and equipment</w:t>
            </w:r>
          </w:p>
        </w:tc>
        <w:tc>
          <w:tcPr>
            <w:tcW w:w="1843" w:type="dxa"/>
          </w:tcPr>
          <w:p w:rsidR="00803BF8" w:rsidRPr="00682AFC" w:rsidRDefault="00803BF8" w:rsidP="00EA4DC5">
            <w:pPr>
              <w:pStyle w:val="FinancialsTableText"/>
              <w:jc w:val="right"/>
            </w:pPr>
            <w:r w:rsidRPr="00682AFC">
              <w:t xml:space="preserve"> 348 </w:t>
            </w:r>
          </w:p>
        </w:tc>
        <w:tc>
          <w:tcPr>
            <w:tcW w:w="1843" w:type="dxa"/>
          </w:tcPr>
          <w:p w:rsidR="00803BF8" w:rsidRPr="00682AFC" w:rsidRDefault="00803BF8" w:rsidP="00EA4DC5">
            <w:pPr>
              <w:pStyle w:val="FinancialsTableText"/>
              <w:jc w:val="right"/>
            </w:pPr>
            <w:r w:rsidRPr="00682AFC">
              <w:t xml:space="preserve"> 306 </w:t>
            </w:r>
          </w:p>
        </w:tc>
        <w:tc>
          <w:tcPr>
            <w:tcW w:w="1633" w:type="dxa"/>
          </w:tcPr>
          <w:p w:rsidR="00803BF8" w:rsidRPr="00682AFC" w:rsidRDefault="00803BF8" w:rsidP="00EA4DC5">
            <w:pPr>
              <w:pStyle w:val="FinancialsTableText"/>
              <w:jc w:val="right"/>
            </w:pPr>
            <w:r w:rsidRPr="00682AFC">
              <w:t xml:space="preserve"> 42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Other non-financial assets</w:t>
            </w:r>
          </w:p>
        </w:tc>
        <w:tc>
          <w:tcPr>
            <w:tcW w:w="1843" w:type="dxa"/>
          </w:tcPr>
          <w:p w:rsidR="00803BF8" w:rsidRPr="00682AFC" w:rsidRDefault="00803BF8" w:rsidP="00EA4DC5">
            <w:pPr>
              <w:pStyle w:val="FinancialsTableText"/>
              <w:jc w:val="right"/>
            </w:pPr>
            <w:r w:rsidRPr="00682AFC">
              <w:t xml:space="preserve"> 48 </w:t>
            </w:r>
          </w:p>
        </w:tc>
        <w:tc>
          <w:tcPr>
            <w:tcW w:w="1843" w:type="dxa"/>
          </w:tcPr>
          <w:p w:rsidR="00803BF8" w:rsidRPr="00682AFC" w:rsidRDefault="00803BF8" w:rsidP="00EA4DC5">
            <w:pPr>
              <w:pStyle w:val="FinancialsTableText"/>
              <w:jc w:val="right"/>
            </w:pPr>
            <w:r w:rsidRPr="00682AFC">
              <w:t xml:space="preserve"> 44 </w:t>
            </w:r>
          </w:p>
        </w:tc>
        <w:tc>
          <w:tcPr>
            <w:tcW w:w="1633" w:type="dxa"/>
          </w:tcPr>
          <w:p w:rsidR="00803BF8" w:rsidRPr="00682AFC" w:rsidRDefault="00803BF8" w:rsidP="00EA4DC5">
            <w:pPr>
              <w:pStyle w:val="FinancialsTableText"/>
              <w:jc w:val="right"/>
            </w:pPr>
            <w:r w:rsidRPr="00682AFC">
              <w:t xml:space="preserve"> 4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Intangibles</w:t>
            </w:r>
          </w:p>
        </w:tc>
        <w:tc>
          <w:tcPr>
            <w:tcW w:w="1843" w:type="dxa"/>
          </w:tcPr>
          <w:p w:rsidR="00803BF8" w:rsidRPr="00682AFC" w:rsidRDefault="00803BF8" w:rsidP="00EA4DC5">
            <w:pPr>
              <w:pStyle w:val="FinancialsTableText"/>
              <w:jc w:val="right"/>
            </w:pPr>
            <w:r w:rsidRPr="00682AFC">
              <w:t xml:space="preserve"> 410 </w:t>
            </w:r>
          </w:p>
        </w:tc>
        <w:tc>
          <w:tcPr>
            <w:tcW w:w="1843" w:type="dxa"/>
          </w:tcPr>
          <w:p w:rsidR="00803BF8" w:rsidRPr="00682AFC" w:rsidRDefault="00803BF8" w:rsidP="00EA4DC5">
            <w:pPr>
              <w:pStyle w:val="FinancialsTableText"/>
              <w:jc w:val="right"/>
            </w:pPr>
            <w:r w:rsidRPr="00682AFC">
              <w:t xml:space="preserve"> 97 </w:t>
            </w:r>
          </w:p>
        </w:tc>
        <w:tc>
          <w:tcPr>
            <w:tcW w:w="1633" w:type="dxa"/>
          </w:tcPr>
          <w:p w:rsidR="00803BF8" w:rsidRPr="00682AFC" w:rsidRDefault="00803BF8" w:rsidP="00EA4DC5">
            <w:pPr>
              <w:pStyle w:val="FinancialsTableText"/>
              <w:jc w:val="right"/>
            </w:pPr>
            <w:r w:rsidRPr="00682AFC">
              <w:t xml:space="preserve"> 313 </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non-financial assets</w:t>
            </w:r>
          </w:p>
        </w:tc>
        <w:tc>
          <w:tcPr>
            <w:tcW w:w="1843" w:type="dxa"/>
          </w:tcPr>
          <w:p w:rsidR="00803BF8" w:rsidRPr="00682AFC" w:rsidRDefault="00803BF8" w:rsidP="00EA4DC5">
            <w:pPr>
              <w:pStyle w:val="FinancialsTableText"/>
              <w:jc w:val="right"/>
              <w:rPr>
                <w:b/>
              </w:rPr>
            </w:pPr>
            <w:r w:rsidRPr="00682AFC">
              <w:rPr>
                <w:b/>
              </w:rPr>
              <w:t xml:space="preserve"> 1,402 </w:t>
            </w:r>
          </w:p>
        </w:tc>
        <w:tc>
          <w:tcPr>
            <w:tcW w:w="1843" w:type="dxa"/>
          </w:tcPr>
          <w:p w:rsidR="00803BF8" w:rsidRPr="00682AFC" w:rsidRDefault="00803BF8" w:rsidP="00EA4DC5">
            <w:pPr>
              <w:pStyle w:val="FinancialsTableText"/>
              <w:jc w:val="right"/>
              <w:rPr>
                <w:b/>
              </w:rPr>
            </w:pPr>
            <w:r w:rsidRPr="00682AFC">
              <w:rPr>
                <w:b/>
              </w:rPr>
              <w:t xml:space="preserve"> 1,008 </w:t>
            </w:r>
          </w:p>
        </w:tc>
        <w:tc>
          <w:tcPr>
            <w:tcW w:w="1633" w:type="dxa"/>
          </w:tcPr>
          <w:p w:rsidR="00803BF8" w:rsidRPr="00682AFC" w:rsidRDefault="00803BF8" w:rsidP="00EA4DC5">
            <w:pPr>
              <w:pStyle w:val="FinancialsTableText"/>
              <w:jc w:val="right"/>
              <w:rPr>
                <w:b/>
              </w:rPr>
            </w:pPr>
            <w:r w:rsidRPr="00682AFC">
              <w:rPr>
                <w:b/>
              </w:rPr>
              <w:t xml:space="preserve"> 394 </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assets</w:t>
            </w:r>
          </w:p>
        </w:tc>
        <w:tc>
          <w:tcPr>
            <w:tcW w:w="1843" w:type="dxa"/>
          </w:tcPr>
          <w:p w:rsidR="00803BF8" w:rsidRPr="00682AFC" w:rsidRDefault="00803BF8" w:rsidP="00EA4DC5">
            <w:pPr>
              <w:pStyle w:val="FinancialsTableText"/>
              <w:jc w:val="right"/>
              <w:rPr>
                <w:b/>
              </w:rPr>
            </w:pPr>
            <w:r w:rsidRPr="00682AFC">
              <w:rPr>
                <w:b/>
              </w:rPr>
              <w:t xml:space="preserve"> 26,009 </w:t>
            </w:r>
          </w:p>
        </w:tc>
        <w:tc>
          <w:tcPr>
            <w:tcW w:w="1843" w:type="dxa"/>
          </w:tcPr>
          <w:p w:rsidR="00803BF8" w:rsidRPr="00682AFC" w:rsidRDefault="00803BF8" w:rsidP="00EA4DC5">
            <w:pPr>
              <w:pStyle w:val="FinancialsTableText"/>
              <w:jc w:val="right"/>
              <w:rPr>
                <w:b/>
              </w:rPr>
            </w:pPr>
            <w:r w:rsidRPr="00682AFC">
              <w:rPr>
                <w:b/>
              </w:rPr>
              <w:t xml:space="preserve"> 20,955 </w:t>
            </w:r>
          </w:p>
        </w:tc>
        <w:tc>
          <w:tcPr>
            <w:tcW w:w="1633" w:type="dxa"/>
          </w:tcPr>
          <w:p w:rsidR="00803BF8" w:rsidRPr="00682AFC" w:rsidRDefault="00803BF8" w:rsidP="00EA4DC5">
            <w:pPr>
              <w:pStyle w:val="FinancialsTableText"/>
              <w:jc w:val="right"/>
              <w:rPr>
                <w:b/>
              </w:rPr>
            </w:pPr>
            <w:r w:rsidRPr="00682AFC">
              <w:rPr>
                <w:b/>
              </w:rPr>
              <w:t xml:space="preserve"> 5,054 </w:t>
            </w:r>
          </w:p>
        </w:tc>
      </w:tr>
      <w:tr w:rsidR="00803BF8" w:rsidRPr="00682AFC" w:rsidTr="00682AFC">
        <w:trPr>
          <w:trHeight w:val="60"/>
        </w:trPr>
        <w:tc>
          <w:tcPr>
            <w:tcW w:w="9855" w:type="dxa"/>
            <w:gridSpan w:val="4"/>
          </w:tcPr>
          <w:p w:rsidR="00803BF8" w:rsidRPr="00682AFC" w:rsidRDefault="00803BF8" w:rsidP="00682AFC">
            <w:pPr>
              <w:pStyle w:val="FinancialsTableH1"/>
            </w:pPr>
            <w:r w:rsidRPr="00682AFC">
              <w:t>Liabilities</w:t>
            </w:r>
          </w:p>
        </w:tc>
      </w:tr>
      <w:tr w:rsidR="00803BF8" w:rsidRPr="00682AFC" w:rsidTr="00682AFC">
        <w:trPr>
          <w:trHeight w:val="60"/>
        </w:trPr>
        <w:tc>
          <w:tcPr>
            <w:tcW w:w="9855" w:type="dxa"/>
            <w:gridSpan w:val="4"/>
          </w:tcPr>
          <w:p w:rsidR="00803BF8" w:rsidRPr="00682AFC" w:rsidRDefault="00803BF8" w:rsidP="00682AFC">
            <w:pPr>
              <w:pStyle w:val="FinancialsTableH2"/>
            </w:pPr>
            <w:r w:rsidRPr="00682AFC">
              <w:t>Payables</w:t>
            </w:r>
          </w:p>
        </w:tc>
      </w:tr>
      <w:tr w:rsidR="00803BF8" w:rsidRPr="00682AFC" w:rsidTr="006E010C">
        <w:trPr>
          <w:trHeight w:val="60"/>
        </w:trPr>
        <w:tc>
          <w:tcPr>
            <w:tcW w:w="4536" w:type="dxa"/>
          </w:tcPr>
          <w:p w:rsidR="00803BF8" w:rsidRPr="00682AFC" w:rsidRDefault="00803BF8" w:rsidP="00682AFC">
            <w:pPr>
              <w:pStyle w:val="FinancialsTableTextIndented"/>
            </w:pPr>
            <w:r w:rsidRPr="00682AFC">
              <w:t>Suppliers</w:t>
            </w:r>
          </w:p>
        </w:tc>
        <w:tc>
          <w:tcPr>
            <w:tcW w:w="1843" w:type="dxa"/>
          </w:tcPr>
          <w:p w:rsidR="00803BF8" w:rsidRPr="00682AFC" w:rsidRDefault="00803BF8" w:rsidP="00EA4DC5">
            <w:pPr>
              <w:pStyle w:val="FinancialsTableText"/>
              <w:jc w:val="right"/>
            </w:pPr>
            <w:r w:rsidRPr="00682AFC">
              <w:t xml:space="preserve"> 3,892 </w:t>
            </w:r>
          </w:p>
        </w:tc>
        <w:tc>
          <w:tcPr>
            <w:tcW w:w="1843" w:type="dxa"/>
          </w:tcPr>
          <w:p w:rsidR="00803BF8" w:rsidRPr="00682AFC" w:rsidRDefault="00803BF8" w:rsidP="00EA4DC5">
            <w:pPr>
              <w:pStyle w:val="FinancialsTableText"/>
              <w:jc w:val="right"/>
            </w:pPr>
            <w:r w:rsidRPr="00682AFC">
              <w:t xml:space="preserve"> 398 </w:t>
            </w:r>
          </w:p>
        </w:tc>
        <w:tc>
          <w:tcPr>
            <w:tcW w:w="1633" w:type="dxa"/>
          </w:tcPr>
          <w:p w:rsidR="00803BF8" w:rsidRPr="00682AFC" w:rsidRDefault="00803BF8" w:rsidP="00EA4DC5">
            <w:pPr>
              <w:pStyle w:val="FinancialsTableText"/>
              <w:jc w:val="right"/>
            </w:pPr>
            <w:r w:rsidRPr="00682AFC">
              <w:t xml:space="preserve"> 3,494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Other payables</w:t>
            </w:r>
          </w:p>
        </w:tc>
        <w:tc>
          <w:tcPr>
            <w:tcW w:w="1843" w:type="dxa"/>
          </w:tcPr>
          <w:p w:rsidR="00803BF8" w:rsidRPr="00682AFC" w:rsidRDefault="00803BF8" w:rsidP="00EA4DC5">
            <w:pPr>
              <w:pStyle w:val="FinancialsTableText"/>
              <w:jc w:val="right"/>
            </w:pPr>
            <w:r w:rsidRPr="00682AFC">
              <w:t xml:space="preserve"> 688 </w:t>
            </w:r>
          </w:p>
        </w:tc>
        <w:tc>
          <w:tcPr>
            <w:tcW w:w="1843" w:type="dxa"/>
          </w:tcPr>
          <w:p w:rsidR="00803BF8" w:rsidRPr="00682AFC" w:rsidRDefault="00803BF8" w:rsidP="00EA4DC5">
            <w:pPr>
              <w:pStyle w:val="FinancialsTableText"/>
              <w:jc w:val="right"/>
            </w:pPr>
            <w:r w:rsidRPr="00682AFC">
              <w:t xml:space="preserve"> 1,324 </w:t>
            </w:r>
          </w:p>
        </w:tc>
        <w:tc>
          <w:tcPr>
            <w:tcW w:w="1633" w:type="dxa"/>
          </w:tcPr>
          <w:p w:rsidR="00803BF8" w:rsidRPr="00682AFC" w:rsidRDefault="00803BF8" w:rsidP="00EA4DC5">
            <w:pPr>
              <w:pStyle w:val="FinancialsTableText"/>
              <w:jc w:val="right"/>
            </w:pPr>
            <w:r w:rsidRPr="00682AFC">
              <w:t xml:space="preserve"> (636)</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payables</w:t>
            </w:r>
          </w:p>
        </w:tc>
        <w:tc>
          <w:tcPr>
            <w:tcW w:w="1843" w:type="dxa"/>
          </w:tcPr>
          <w:p w:rsidR="00803BF8" w:rsidRPr="00682AFC" w:rsidRDefault="00803BF8" w:rsidP="00EA4DC5">
            <w:pPr>
              <w:pStyle w:val="FinancialsTableText"/>
              <w:jc w:val="right"/>
              <w:rPr>
                <w:b/>
              </w:rPr>
            </w:pPr>
            <w:r w:rsidRPr="00682AFC">
              <w:rPr>
                <w:b/>
              </w:rPr>
              <w:t xml:space="preserve"> 4,580 </w:t>
            </w:r>
          </w:p>
        </w:tc>
        <w:tc>
          <w:tcPr>
            <w:tcW w:w="1843" w:type="dxa"/>
          </w:tcPr>
          <w:p w:rsidR="00803BF8" w:rsidRPr="00682AFC" w:rsidRDefault="00803BF8" w:rsidP="00EA4DC5">
            <w:pPr>
              <w:pStyle w:val="FinancialsTableText"/>
              <w:jc w:val="right"/>
              <w:rPr>
                <w:b/>
              </w:rPr>
            </w:pPr>
            <w:r w:rsidRPr="00682AFC">
              <w:rPr>
                <w:b/>
              </w:rPr>
              <w:t xml:space="preserve"> 1,722 </w:t>
            </w:r>
          </w:p>
        </w:tc>
        <w:tc>
          <w:tcPr>
            <w:tcW w:w="1633" w:type="dxa"/>
          </w:tcPr>
          <w:p w:rsidR="00803BF8" w:rsidRPr="00682AFC" w:rsidRDefault="00803BF8" w:rsidP="00EA4DC5">
            <w:pPr>
              <w:pStyle w:val="FinancialsTableText"/>
              <w:jc w:val="right"/>
              <w:rPr>
                <w:b/>
              </w:rPr>
            </w:pPr>
            <w:r w:rsidRPr="00682AFC">
              <w:rPr>
                <w:b/>
              </w:rPr>
              <w:t xml:space="preserve"> 2,858 </w:t>
            </w:r>
          </w:p>
        </w:tc>
      </w:tr>
      <w:tr w:rsidR="00803BF8" w:rsidRPr="00682AFC" w:rsidTr="00682AFC">
        <w:trPr>
          <w:trHeight w:val="60"/>
        </w:trPr>
        <w:tc>
          <w:tcPr>
            <w:tcW w:w="9855" w:type="dxa"/>
            <w:gridSpan w:val="4"/>
          </w:tcPr>
          <w:p w:rsidR="00803BF8" w:rsidRPr="00682AFC" w:rsidRDefault="00803BF8" w:rsidP="00682AFC">
            <w:pPr>
              <w:pStyle w:val="FinancialsTableH2"/>
            </w:pPr>
            <w:r w:rsidRPr="00682AFC">
              <w:t>Provisions</w:t>
            </w:r>
          </w:p>
        </w:tc>
      </w:tr>
      <w:tr w:rsidR="00803BF8" w:rsidRPr="00682AFC" w:rsidTr="006E010C">
        <w:trPr>
          <w:trHeight w:val="60"/>
        </w:trPr>
        <w:tc>
          <w:tcPr>
            <w:tcW w:w="4536" w:type="dxa"/>
          </w:tcPr>
          <w:p w:rsidR="00803BF8" w:rsidRPr="00682AFC" w:rsidRDefault="00803BF8" w:rsidP="00682AFC">
            <w:pPr>
              <w:pStyle w:val="FinancialsTableTextIndented"/>
            </w:pPr>
            <w:r w:rsidRPr="00682AFC">
              <w:t>Employee provisions</w:t>
            </w:r>
          </w:p>
        </w:tc>
        <w:tc>
          <w:tcPr>
            <w:tcW w:w="1843" w:type="dxa"/>
          </w:tcPr>
          <w:p w:rsidR="00803BF8" w:rsidRPr="00682AFC" w:rsidRDefault="00803BF8" w:rsidP="00EA4DC5">
            <w:pPr>
              <w:pStyle w:val="FinancialsTableText"/>
              <w:jc w:val="right"/>
            </w:pPr>
            <w:r w:rsidRPr="00682AFC">
              <w:t xml:space="preserve"> 1,140 </w:t>
            </w:r>
          </w:p>
        </w:tc>
        <w:tc>
          <w:tcPr>
            <w:tcW w:w="1843" w:type="dxa"/>
          </w:tcPr>
          <w:p w:rsidR="00803BF8" w:rsidRPr="00682AFC" w:rsidRDefault="00803BF8" w:rsidP="00EA4DC5">
            <w:pPr>
              <w:pStyle w:val="FinancialsTableText"/>
              <w:jc w:val="right"/>
            </w:pPr>
            <w:r w:rsidRPr="00682AFC">
              <w:t xml:space="preserve"> 1,147 </w:t>
            </w:r>
          </w:p>
        </w:tc>
        <w:tc>
          <w:tcPr>
            <w:tcW w:w="1633" w:type="dxa"/>
          </w:tcPr>
          <w:p w:rsidR="00803BF8" w:rsidRPr="00682AFC" w:rsidRDefault="00803BF8" w:rsidP="00EA4DC5">
            <w:pPr>
              <w:pStyle w:val="FinancialsTableText"/>
              <w:jc w:val="right"/>
            </w:pPr>
            <w:r w:rsidRPr="00682AFC">
              <w:t xml:space="preserve"> (7)</w:t>
            </w:r>
          </w:p>
        </w:tc>
      </w:tr>
      <w:tr w:rsidR="00803BF8" w:rsidRPr="00682AFC" w:rsidTr="006E010C">
        <w:trPr>
          <w:trHeight w:val="60"/>
        </w:trPr>
        <w:tc>
          <w:tcPr>
            <w:tcW w:w="4536" w:type="dxa"/>
          </w:tcPr>
          <w:p w:rsidR="00803BF8" w:rsidRPr="00682AFC" w:rsidRDefault="00803BF8" w:rsidP="00682AFC">
            <w:pPr>
              <w:pStyle w:val="FinancialsTableTextIndented"/>
            </w:pPr>
            <w:r w:rsidRPr="00682AFC">
              <w:t>Other provisions</w:t>
            </w:r>
          </w:p>
        </w:tc>
        <w:tc>
          <w:tcPr>
            <w:tcW w:w="1843" w:type="dxa"/>
          </w:tcPr>
          <w:p w:rsidR="00803BF8" w:rsidRPr="00682AFC" w:rsidRDefault="00803BF8" w:rsidP="00EA4DC5">
            <w:pPr>
              <w:pStyle w:val="FinancialsTableText"/>
              <w:jc w:val="right"/>
            </w:pPr>
            <w:r w:rsidRPr="00682AFC">
              <w:t xml:space="preserve"> 162 </w:t>
            </w:r>
          </w:p>
        </w:tc>
        <w:tc>
          <w:tcPr>
            <w:tcW w:w="1843" w:type="dxa"/>
          </w:tcPr>
          <w:p w:rsidR="00803BF8" w:rsidRPr="00682AFC" w:rsidRDefault="00803BF8" w:rsidP="00EA4DC5">
            <w:pPr>
              <w:pStyle w:val="FinancialsTableText"/>
              <w:jc w:val="right"/>
            </w:pPr>
            <w:r w:rsidRPr="00682AFC">
              <w:t xml:space="preserve"> 163 </w:t>
            </w:r>
          </w:p>
        </w:tc>
        <w:tc>
          <w:tcPr>
            <w:tcW w:w="1633" w:type="dxa"/>
          </w:tcPr>
          <w:p w:rsidR="00803BF8" w:rsidRPr="00682AFC" w:rsidRDefault="00803BF8" w:rsidP="00EA4DC5">
            <w:pPr>
              <w:pStyle w:val="FinancialsTableText"/>
              <w:jc w:val="right"/>
            </w:pPr>
            <w:r w:rsidRPr="00682AFC">
              <w:t xml:space="preserve"> (1)</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 xml:space="preserve">Total provisions </w:t>
            </w:r>
          </w:p>
        </w:tc>
        <w:tc>
          <w:tcPr>
            <w:tcW w:w="1843" w:type="dxa"/>
          </w:tcPr>
          <w:p w:rsidR="00803BF8" w:rsidRPr="00682AFC" w:rsidRDefault="00803BF8" w:rsidP="00EA4DC5">
            <w:pPr>
              <w:pStyle w:val="FinancialsTableText"/>
              <w:jc w:val="right"/>
              <w:rPr>
                <w:b/>
              </w:rPr>
            </w:pPr>
            <w:r w:rsidRPr="00682AFC">
              <w:rPr>
                <w:b/>
              </w:rPr>
              <w:t xml:space="preserve"> 1,302 </w:t>
            </w:r>
          </w:p>
        </w:tc>
        <w:tc>
          <w:tcPr>
            <w:tcW w:w="1843" w:type="dxa"/>
          </w:tcPr>
          <w:p w:rsidR="00803BF8" w:rsidRPr="00682AFC" w:rsidRDefault="00803BF8" w:rsidP="00EA4DC5">
            <w:pPr>
              <w:pStyle w:val="FinancialsTableText"/>
              <w:jc w:val="right"/>
              <w:rPr>
                <w:b/>
              </w:rPr>
            </w:pPr>
            <w:r w:rsidRPr="00682AFC">
              <w:rPr>
                <w:b/>
              </w:rPr>
              <w:t xml:space="preserve"> 1,310 </w:t>
            </w:r>
          </w:p>
        </w:tc>
        <w:tc>
          <w:tcPr>
            <w:tcW w:w="1633" w:type="dxa"/>
          </w:tcPr>
          <w:p w:rsidR="00803BF8" w:rsidRPr="00682AFC" w:rsidRDefault="00803BF8" w:rsidP="00EA4DC5">
            <w:pPr>
              <w:pStyle w:val="FinancialsTableText"/>
              <w:jc w:val="right"/>
              <w:rPr>
                <w:b/>
              </w:rPr>
            </w:pPr>
            <w:r w:rsidRPr="00682AFC">
              <w:rPr>
                <w:b/>
              </w:rPr>
              <w:t xml:space="preserve"> (8)</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liabilities</w:t>
            </w:r>
          </w:p>
        </w:tc>
        <w:tc>
          <w:tcPr>
            <w:tcW w:w="1843" w:type="dxa"/>
          </w:tcPr>
          <w:p w:rsidR="00803BF8" w:rsidRPr="00682AFC" w:rsidRDefault="00803BF8" w:rsidP="00EA4DC5">
            <w:pPr>
              <w:pStyle w:val="FinancialsTableText"/>
              <w:jc w:val="right"/>
              <w:rPr>
                <w:b/>
              </w:rPr>
            </w:pPr>
            <w:r w:rsidRPr="00682AFC">
              <w:rPr>
                <w:b/>
              </w:rPr>
              <w:t xml:space="preserve"> 5,882 </w:t>
            </w:r>
          </w:p>
        </w:tc>
        <w:tc>
          <w:tcPr>
            <w:tcW w:w="1843" w:type="dxa"/>
          </w:tcPr>
          <w:p w:rsidR="00803BF8" w:rsidRPr="00682AFC" w:rsidRDefault="00803BF8" w:rsidP="00EA4DC5">
            <w:pPr>
              <w:pStyle w:val="FinancialsTableText"/>
              <w:jc w:val="right"/>
              <w:rPr>
                <w:b/>
              </w:rPr>
            </w:pPr>
            <w:r w:rsidRPr="00682AFC">
              <w:rPr>
                <w:b/>
              </w:rPr>
              <w:t xml:space="preserve"> 3,032 </w:t>
            </w:r>
          </w:p>
        </w:tc>
        <w:tc>
          <w:tcPr>
            <w:tcW w:w="1633" w:type="dxa"/>
          </w:tcPr>
          <w:p w:rsidR="00803BF8" w:rsidRPr="00682AFC" w:rsidRDefault="00803BF8" w:rsidP="00EA4DC5">
            <w:pPr>
              <w:pStyle w:val="FinancialsTableText"/>
              <w:jc w:val="right"/>
              <w:rPr>
                <w:b/>
              </w:rPr>
            </w:pPr>
            <w:r w:rsidRPr="00682AFC">
              <w:rPr>
                <w:b/>
              </w:rPr>
              <w:t xml:space="preserve"> 2,850 </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Net assets</w:t>
            </w:r>
          </w:p>
        </w:tc>
        <w:tc>
          <w:tcPr>
            <w:tcW w:w="1843" w:type="dxa"/>
          </w:tcPr>
          <w:p w:rsidR="00803BF8" w:rsidRPr="00682AFC" w:rsidRDefault="00803BF8" w:rsidP="00EA4DC5">
            <w:pPr>
              <w:pStyle w:val="FinancialsTableText"/>
              <w:jc w:val="right"/>
              <w:rPr>
                <w:b/>
              </w:rPr>
            </w:pPr>
            <w:r w:rsidRPr="00682AFC">
              <w:rPr>
                <w:b/>
              </w:rPr>
              <w:t xml:space="preserve"> 20,127 </w:t>
            </w:r>
          </w:p>
        </w:tc>
        <w:tc>
          <w:tcPr>
            <w:tcW w:w="1843" w:type="dxa"/>
          </w:tcPr>
          <w:p w:rsidR="00803BF8" w:rsidRPr="00682AFC" w:rsidRDefault="00803BF8" w:rsidP="00EA4DC5">
            <w:pPr>
              <w:pStyle w:val="FinancialsTableText"/>
              <w:jc w:val="right"/>
              <w:rPr>
                <w:b/>
              </w:rPr>
            </w:pPr>
            <w:r w:rsidRPr="00682AFC">
              <w:rPr>
                <w:b/>
              </w:rPr>
              <w:t xml:space="preserve"> 17,923 </w:t>
            </w:r>
          </w:p>
        </w:tc>
        <w:tc>
          <w:tcPr>
            <w:tcW w:w="1633" w:type="dxa"/>
          </w:tcPr>
          <w:p w:rsidR="00803BF8" w:rsidRPr="00682AFC" w:rsidRDefault="00803BF8" w:rsidP="00EA4DC5">
            <w:pPr>
              <w:pStyle w:val="FinancialsTableText"/>
              <w:jc w:val="right"/>
              <w:rPr>
                <w:b/>
              </w:rPr>
            </w:pPr>
            <w:r w:rsidRPr="00682AFC">
              <w:rPr>
                <w:b/>
              </w:rPr>
              <w:t xml:space="preserve"> 2,204 </w:t>
            </w:r>
          </w:p>
        </w:tc>
      </w:tr>
      <w:tr w:rsidR="00803BF8" w:rsidRPr="00682AFC" w:rsidTr="00682AFC">
        <w:trPr>
          <w:trHeight w:val="60"/>
        </w:trPr>
        <w:tc>
          <w:tcPr>
            <w:tcW w:w="9855" w:type="dxa"/>
            <w:gridSpan w:val="4"/>
          </w:tcPr>
          <w:p w:rsidR="00803BF8" w:rsidRPr="00682AFC" w:rsidRDefault="00803BF8" w:rsidP="00682AFC">
            <w:pPr>
              <w:pStyle w:val="FinancialsTableH1"/>
            </w:pPr>
            <w:r w:rsidRPr="00682AFC">
              <w:t>Equity</w:t>
            </w:r>
          </w:p>
        </w:tc>
      </w:tr>
      <w:tr w:rsidR="00803BF8" w:rsidRPr="00682AFC" w:rsidTr="006E010C">
        <w:trPr>
          <w:trHeight w:val="60"/>
        </w:trPr>
        <w:tc>
          <w:tcPr>
            <w:tcW w:w="4536" w:type="dxa"/>
          </w:tcPr>
          <w:p w:rsidR="00803BF8" w:rsidRPr="00682AFC" w:rsidRDefault="00803BF8" w:rsidP="00682AFC">
            <w:pPr>
              <w:pStyle w:val="FinancialsTableTextIndented"/>
            </w:pPr>
            <w:r w:rsidRPr="00682AFC">
              <w:t>Contributed equity</w:t>
            </w:r>
          </w:p>
        </w:tc>
        <w:tc>
          <w:tcPr>
            <w:tcW w:w="1843" w:type="dxa"/>
          </w:tcPr>
          <w:p w:rsidR="00803BF8" w:rsidRPr="00682AFC" w:rsidRDefault="00803BF8" w:rsidP="00EA4DC5">
            <w:pPr>
              <w:pStyle w:val="FinancialsTableText"/>
              <w:jc w:val="right"/>
            </w:pPr>
            <w:r w:rsidRPr="00682AFC">
              <w:t xml:space="preserve"> 400 </w:t>
            </w:r>
          </w:p>
        </w:tc>
        <w:tc>
          <w:tcPr>
            <w:tcW w:w="1843" w:type="dxa"/>
          </w:tcPr>
          <w:p w:rsidR="00803BF8" w:rsidRPr="00682AFC" w:rsidRDefault="00803BF8" w:rsidP="00EA4DC5">
            <w:pPr>
              <w:pStyle w:val="FinancialsTableText"/>
              <w:jc w:val="right"/>
            </w:pPr>
            <w:r w:rsidRPr="00682AFC">
              <w:t xml:space="preserve"> 598 </w:t>
            </w:r>
          </w:p>
        </w:tc>
        <w:tc>
          <w:tcPr>
            <w:tcW w:w="1633" w:type="dxa"/>
          </w:tcPr>
          <w:p w:rsidR="00803BF8" w:rsidRPr="00682AFC" w:rsidRDefault="00803BF8" w:rsidP="00EA4DC5">
            <w:pPr>
              <w:pStyle w:val="FinancialsTableText"/>
              <w:jc w:val="right"/>
            </w:pPr>
            <w:r w:rsidRPr="00682AFC">
              <w:t xml:space="preserve"> (198)</w:t>
            </w:r>
          </w:p>
        </w:tc>
      </w:tr>
      <w:tr w:rsidR="00803BF8" w:rsidRPr="00682AFC" w:rsidTr="006E010C">
        <w:trPr>
          <w:trHeight w:val="60"/>
        </w:trPr>
        <w:tc>
          <w:tcPr>
            <w:tcW w:w="4536" w:type="dxa"/>
          </w:tcPr>
          <w:p w:rsidR="00803BF8" w:rsidRPr="00682AFC" w:rsidRDefault="00803BF8" w:rsidP="00682AFC">
            <w:pPr>
              <w:pStyle w:val="FinancialsTableTextIndented"/>
            </w:pPr>
            <w:r w:rsidRPr="00682AFC">
              <w:t>Reserves</w:t>
            </w:r>
          </w:p>
        </w:tc>
        <w:tc>
          <w:tcPr>
            <w:tcW w:w="1843" w:type="dxa"/>
          </w:tcPr>
          <w:p w:rsidR="00803BF8" w:rsidRPr="00682AFC" w:rsidRDefault="00803BF8" w:rsidP="00EA4DC5">
            <w:pPr>
              <w:pStyle w:val="FinancialsTableText"/>
              <w:jc w:val="right"/>
            </w:pPr>
            <w:r w:rsidRPr="00682AFC">
              <w:t xml:space="preserve"> 16 </w:t>
            </w:r>
          </w:p>
        </w:tc>
        <w:tc>
          <w:tcPr>
            <w:tcW w:w="1843" w:type="dxa"/>
          </w:tcPr>
          <w:p w:rsidR="00803BF8" w:rsidRPr="00682AFC" w:rsidRDefault="00803BF8" w:rsidP="00EA4DC5">
            <w:pPr>
              <w:pStyle w:val="FinancialsTableText"/>
              <w:jc w:val="right"/>
            </w:pPr>
            <w:r w:rsidRPr="00682AFC">
              <w:t xml:space="preserve"> – </w:t>
            </w:r>
          </w:p>
        </w:tc>
        <w:tc>
          <w:tcPr>
            <w:tcW w:w="1633" w:type="dxa"/>
          </w:tcPr>
          <w:p w:rsidR="00803BF8" w:rsidRPr="00682AFC" w:rsidRDefault="00803BF8" w:rsidP="00EA4DC5">
            <w:pPr>
              <w:pStyle w:val="FinancialsTableText"/>
              <w:jc w:val="right"/>
            </w:pPr>
            <w:r w:rsidRPr="00682AFC">
              <w:t xml:space="preserve"> 16 </w:t>
            </w:r>
          </w:p>
        </w:tc>
      </w:tr>
      <w:tr w:rsidR="00803BF8" w:rsidRPr="00682AFC" w:rsidTr="006E010C">
        <w:trPr>
          <w:trHeight w:val="60"/>
        </w:trPr>
        <w:tc>
          <w:tcPr>
            <w:tcW w:w="4536" w:type="dxa"/>
          </w:tcPr>
          <w:p w:rsidR="00803BF8" w:rsidRPr="00682AFC" w:rsidRDefault="00803BF8" w:rsidP="00682AFC">
            <w:pPr>
              <w:pStyle w:val="FinancialsTableTextIndented"/>
            </w:pPr>
            <w:r w:rsidRPr="00682AFC">
              <w:t>Retained surplus</w:t>
            </w:r>
          </w:p>
        </w:tc>
        <w:tc>
          <w:tcPr>
            <w:tcW w:w="1843" w:type="dxa"/>
          </w:tcPr>
          <w:p w:rsidR="00803BF8" w:rsidRPr="00682AFC" w:rsidRDefault="00803BF8" w:rsidP="00EA4DC5">
            <w:pPr>
              <w:pStyle w:val="FinancialsTableText"/>
              <w:jc w:val="right"/>
            </w:pPr>
            <w:r w:rsidRPr="00682AFC">
              <w:t xml:space="preserve"> 19,711 </w:t>
            </w:r>
          </w:p>
        </w:tc>
        <w:tc>
          <w:tcPr>
            <w:tcW w:w="1843" w:type="dxa"/>
          </w:tcPr>
          <w:p w:rsidR="00803BF8" w:rsidRPr="00682AFC" w:rsidRDefault="00803BF8" w:rsidP="00EA4DC5">
            <w:pPr>
              <w:pStyle w:val="FinancialsTableText"/>
              <w:jc w:val="right"/>
            </w:pPr>
            <w:r w:rsidRPr="00682AFC">
              <w:t xml:space="preserve"> 17,325 </w:t>
            </w:r>
          </w:p>
        </w:tc>
        <w:tc>
          <w:tcPr>
            <w:tcW w:w="1633" w:type="dxa"/>
          </w:tcPr>
          <w:p w:rsidR="00803BF8" w:rsidRPr="00682AFC" w:rsidRDefault="00803BF8" w:rsidP="00EA4DC5">
            <w:pPr>
              <w:pStyle w:val="FinancialsTableText"/>
              <w:jc w:val="right"/>
            </w:pPr>
            <w:r w:rsidRPr="00682AFC">
              <w:t xml:space="preserve"> 2,386 </w:t>
            </w:r>
          </w:p>
        </w:tc>
      </w:tr>
      <w:tr w:rsidR="00803BF8" w:rsidRPr="00682AFC" w:rsidTr="006E010C">
        <w:trPr>
          <w:trHeight w:val="60"/>
        </w:trPr>
        <w:tc>
          <w:tcPr>
            <w:tcW w:w="4536" w:type="dxa"/>
          </w:tcPr>
          <w:p w:rsidR="00803BF8" w:rsidRPr="00682AFC" w:rsidRDefault="00803BF8" w:rsidP="00682AFC">
            <w:pPr>
              <w:pStyle w:val="FinancialsTableText"/>
              <w:rPr>
                <w:b/>
              </w:rPr>
            </w:pPr>
            <w:r w:rsidRPr="00682AFC">
              <w:rPr>
                <w:b/>
              </w:rPr>
              <w:t>Total equity</w:t>
            </w:r>
          </w:p>
        </w:tc>
        <w:tc>
          <w:tcPr>
            <w:tcW w:w="1843" w:type="dxa"/>
          </w:tcPr>
          <w:p w:rsidR="00803BF8" w:rsidRPr="00682AFC" w:rsidRDefault="00803BF8" w:rsidP="00EA4DC5">
            <w:pPr>
              <w:pStyle w:val="FinancialsTableText"/>
              <w:jc w:val="right"/>
              <w:rPr>
                <w:b/>
              </w:rPr>
            </w:pPr>
            <w:r w:rsidRPr="00682AFC">
              <w:rPr>
                <w:b/>
              </w:rPr>
              <w:t xml:space="preserve"> 20,127 </w:t>
            </w:r>
          </w:p>
        </w:tc>
        <w:tc>
          <w:tcPr>
            <w:tcW w:w="1843" w:type="dxa"/>
          </w:tcPr>
          <w:p w:rsidR="00803BF8" w:rsidRPr="00682AFC" w:rsidRDefault="00803BF8" w:rsidP="00EA4DC5">
            <w:pPr>
              <w:pStyle w:val="FinancialsTableText"/>
              <w:jc w:val="right"/>
              <w:rPr>
                <w:b/>
              </w:rPr>
            </w:pPr>
            <w:r w:rsidRPr="00682AFC">
              <w:rPr>
                <w:b/>
              </w:rPr>
              <w:t xml:space="preserve"> 17,923 </w:t>
            </w:r>
          </w:p>
        </w:tc>
        <w:tc>
          <w:tcPr>
            <w:tcW w:w="1633" w:type="dxa"/>
          </w:tcPr>
          <w:p w:rsidR="00803BF8" w:rsidRPr="00682AFC" w:rsidRDefault="00803BF8" w:rsidP="00EA4DC5">
            <w:pPr>
              <w:pStyle w:val="FinancialsTableText"/>
              <w:jc w:val="right"/>
              <w:rPr>
                <w:b/>
              </w:rPr>
            </w:pPr>
            <w:r w:rsidRPr="00682AFC">
              <w:rPr>
                <w:b/>
              </w:rPr>
              <w:t xml:space="preserve"> 2,204 </w:t>
            </w:r>
          </w:p>
        </w:tc>
      </w:tr>
    </w:tbl>
    <w:p w:rsidR="009A6127" w:rsidRPr="009A6127" w:rsidRDefault="009A6127" w:rsidP="009A6127">
      <w:pPr>
        <w:pStyle w:val="SourceNotesText"/>
        <w:rPr>
          <w:b/>
        </w:rPr>
      </w:pPr>
      <w:r w:rsidRPr="009A6127">
        <w:rPr>
          <w:b/>
        </w:rPr>
        <w:t>Notes</w:t>
      </w:r>
    </w:p>
    <w:p w:rsidR="009A6127" w:rsidRPr="009A6127" w:rsidRDefault="009A6127" w:rsidP="009A6127">
      <w:pPr>
        <w:pStyle w:val="SourceNotesText"/>
        <w:rPr>
          <w:b/>
        </w:rPr>
      </w:pPr>
      <w:r w:rsidRPr="009A6127">
        <w:rPr>
          <w:b/>
        </w:rPr>
        <w:t>1. Variance analysis</w:t>
      </w:r>
    </w:p>
    <w:p w:rsidR="009A6127" w:rsidRDefault="009A6127" w:rsidP="009A6127">
      <w:pPr>
        <w:pStyle w:val="SourceNotesText"/>
      </w:pPr>
      <w:r>
        <w:t xml:space="preserve">Cash is higher than budget as Treasury action was taken at end of year to ensure adequate cash was available to pay supplier liabilities. </w:t>
      </w:r>
    </w:p>
    <w:p w:rsidR="009A6127" w:rsidRDefault="009A6127" w:rsidP="009A6127">
      <w:pPr>
        <w:pStyle w:val="SourceNotesText"/>
      </w:pPr>
      <w:r>
        <w:t>Non financial assets; intangibles are higher than budget as a clinical classification system was purchased and higher than planned expenditure on analytical software occurred during the year.</w:t>
      </w:r>
    </w:p>
    <w:p w:rsidR="009A6127" w:rsidRDefault="009A6127" w:rsidP="009A6127">
      <w:pPr>
        <w:pStyle w:val="SourceNotesText"/>
      </w:pPr>
      <w:r>
        <w:t>Other payables were lower than budget as planned inter agency creditor accounts have been settled.</w:t>
      </w:r>
    </w:p>
    <w:p w:rsidR="006B7B5A" w:rsidRDefault="006B7B5A" w:rsidP="009D1E42">
      <w:r>
        <w:br w:type="page"/>
      </w:r>
    </w:p>
    <w:p w:rsidR="006B7B5A" w:rsidRDefault="006B7B5A" w:rsidP="006B7B5A">
      <w:pPr>
        <w:pStyle w:val="FinancialsH2"/>
      </w:pPr>
      <w:bookmarkStart w:id="44" w:name="_Toc433193224"/>
      <w:r>
        <w:t>Cash flow statement</w:t>
      </w:r>
      <w:bookmarkEnd w:id="44"/>
    </w:p>
    <w:p w:rsidR="009D1E42" w:rsidRDefault="006B7B5A" w:rsidP="006B7B5A">
      <w:pPr>
        <w:spacing w:before="0"/>
      </w:pPr>
      <w:r>
        <w:t>for the year ended 30 June 2015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Cash flow statement for the year ended 30 June 2015"/>
      </w:tblPr>
      <w:tblGrid>
        <w:gridCol w:w="4536"/>
        <w:gridCol w:w="1843"/>
        <w:gridCol w:w="1843"/>
        <w:gridCol w:w="1633"/>
      </w:tblGrid>
      <w:tr w:rsidR="00150EA9" w:rsidRPr="00803BF8" w:rsidTr="006E010C">
        <w:trPr>
          <w:cnfStyle w:val="100000000000" w:firstRow="1" w:lastRow="0" w:firstColumn="0" w:lastColumn="0" w:oddVBand="0" w:evenVBand="0" w:oddHBand="0" w:evenHBand="0" w:firstRowFirstColumn="0" w:firstRowLastColumn="0" w:lastRowFirstColumn="0" w:lastRowLastColumn="0"/>
          <w:trHeight w:val="60"/>
        </w:trPr>
        <w:tc>
          <w:tcPr>
            <w:tcW w:w="4536" w:type="dxa"/>
          </w:tcPr>
          <w:p w:rsidR="00150EA9" w:rsidRPr="00803BF8" w:rsidRDefault="00150EA9" w:rsidP="00391F86">
            <w:pPr>
              <w:pStyle w:val="FinancialsTableText"/>
            </w:pPr>
          </w:p>
        </w:tc>
        <w:tc>
          <w:tcPr>
            <w:tcW w:w="1843" w:type="dxa"/>
          </w:tcPr>
          <w:p w:rsidR="00150EA9" w:rsidRPr="00803BF8" w:rsidRDefault="00150EA9" w:rsidP="00391F86">
            <w:pPr>
              <w:pStyle w:val="FinancialsTableText"/>
              <w:jc w:val="right"/>
              <w:rPr>
                <w:bCs/>
                <w:lang w:val="en-GB"/>
              </w:rPr>
            </w:pPr>
            <w:r w:rsidRPr="00803BF8">
              <w:rPr>
                <w:bCs/>
                <w:lang w:val="en-GB"/>
              </w:rPr>
              <w:t>Budget estimate</w:t>
            </w:r>
          </w:p>
          <w:p w:rsidR="00150EA9" w:rsidRPr="001D693F" w:rsidRDefault="00150EA9" w:rsidP="00391F86">
            <w:pPr>
              <w:pStyle w:val="FinancialsTableText"/>
              <w:jc w:val="right"/>
              <w:rPr>
                <w:bCs/>
                <w:lang w:val="en-GB"/>
              </w:rPr>
            </w:pPr>
            <w:r w:rsidRPr="00803BF8">
              <w:rPr>
                <w:bCs/>
                <w:lang w:val="en-GB"/>
              </w:rPr>
              <w:t xml:space="preserve">Actual </w:t>
            </w:r>
            <w:r>
              <w:rPr>
                <w:bCs/>
                <w:lang w:val="en-GB"/>
              </w:rPr>
              <w:t>2015</w:t>
            </w:r>
            <w:r>
              <w:rPr>
                <w:bCs/>
                <w:lang w:val="en-GB"/>
              </w:rPr>
              <w:br/>
            </w:r>
            <w:r w:rsidRPr="001D693F">
              <w:rPr>
                <w:b w:val="0"/>
                <w:lang w:val="en-GB"/>
              </w:rPr>
              <w:t>$000</w:t>
            </w:r>
          </w:p>
        </w:tc>
        <w:tc>
          <w:tcPr>
            <w:tcW w:w="1843" w:type="dxa"/>
          </w:tcPr>
          <w:p w:rsidR="00150EA9" w:rsidRPr="00803BF8" w:rsidRDefault="00150EA9" w:rsidP="00391F86">
            <w:pPr>
              <w:pStyle w:val="FinancialsTableText"/>
              <w:jc w:val="right"/>
              <w:rPr>
                <w:bCs/>
                <w:lang w:val="en-GB"/>
              </w:rPr>
            </w:pPr>
            <w:r w:rsidRPr="00803BF8">
              <w:rPr>
                <w:bCs/>
                <w:lang w:val="en-GB"/>
              </w:rPr>
              <w:t>Budget estimate</w:t>
            </w:r>
          </w:p>
          <w:p w:rsidR="00150EA9" w:rsidRPr="00803BF8" w:rsidRDefault="00150EA9" w:rsidP="00391F86">
            <w:pPr>
              <w:pStyle w:val="FinancialsTableText"/>
              <w:jc w:val="right"/>
              <w:rPr>
                <w:lang w:val="en-GB"/>
              </w:rPr>
            </w:pPr>
            <w:r w:rsidRPr="00803BF8">
              <w:rPr>
                <w:bCs/>
                <w:lang w:val="en-GB"/>
              </w:rPr>
              <w:t>Original 2015</w:t>
            </w:r>
            <w:r>
              <w:rPr>
                <w:bCs/>
                <w:lang w:val="en-GB"/>
              </w:rPr>
              <w:br/>
            </w:r>
            <w:r w:rsidRPr="001D693F">
              <w:rPr>
                <w:b w:val="0"/>
                <w:lang w:val="en-GB"/>
              </w:rPr>
              <w:t>$000</w:t>
            </w:r>
          </w:p>
        </w:tc>
        <w:tc>
          <w:tcPr>
            <w:tcW w:w="1633" w:type="dxa"/>
          </w:tcPr>
          <w:p w:rsidR="00150EA9" w:rsidRDefault="00150EA9" w:rsidP="00391F86">
            <w:pPr>
              <w:pStyle w:val="FinancialsTableText"/>
              <w:jc w:val="right"/>
              <w:rPr>
                <w:bCs/>
                <w:vertAlign w:val="superscript"/>
                <w:lang w:val="en-GB"/>
              </w:rPr>
            </w:pPr>
            <w:r w:rsidRPr="00803BF8">
              <w:rPr>
                <w:bCs/>
                <w:lang w:val="en-GB"/>
              </w:rPr>
              <w:t>Variance</w:t>
            </w:r>
            <w:r w:rsidRPr="00803BF8">
              <w:rPr>
                <w:bCs/>
                <w:vertAlign w:val="superscript"/>
                <w:lang w:val="en-GB"/>
              </w:rPr>
              <w:t>1</w:t>
            </w:r>
          </w:p>
          <w:p w:rsidR="00150EA9" w:rsidRPr="00803BF8" w:rsidRDefault="00150EA9" w:rsidP="00391F86">
            <w:pPr>
              <w:pStyle w:val="FinancialsTableText"/>
              <w:jc w:val="right"/>
              <w:rPr>
                <w:lang w:val="en-GB"/>
              </w:rPr>
            </w:pPr>
            <w:r w:rsidRPr="00803BF8">
              <w:rPr>
                <w:bCs/>
                <w:lang w:val="en-GB"/>
              </w:rPr>
              <w:t>2015</w:t>
            </w:r>
            <w:r>
              <w:rPr>
                <w:bCs/>
                <w:lang w:val="en-GB"/>
              </w:rPr>
              <w:br/>
            </w:r>
            <w:r w:rsidRPr="001D693F">
              <w:rPr>
                <w:b w:val="0"/>
                <w:lang w:val="en-GB"/>
              </w:rPr>
              <w:t>$000</w:t>
            </w:r>
          </w:p>
        </w:tc>
      </w:tr>
      <w:tr w:rsidR="00803BF8" w:rsidRPr="00150EA9" w:rsidTr="00150EA9">
        <w:trPr>
          <w:trHeight w:val="60"/>
        </w:trPr>
        <w:tc>
          <w:tcPr>
            <w:tcW w:w="9855" w:type="dxa"/>
            <w:gridSpan w:val="4"/>
          </w:tcPr>
          <w:p w:rsidR="00803BF8" w:rsidRPr="00150EA9" w:rsidRDefault="00803BF8" w:rsidP="006E010C">
            <w:pPr>
              <w:pStyle w:val="FinancialsTableH1"/>
            </w:pPr>
            <w:r w:rsidRPr="00150EA9">
              <w:t>Operating activities</w:t>
            </w:r>
          </w:p>
        </w:tc>
      </w:tr>
      <w:tr w:rsidR="00803BF8" w:rsidRPr="00150EA9" w:rsidTr="00150EA9">
        <w:trPr>
          <w:trHeight w:val="60"/>
        </w:trPr>
        <w:tc>
          <w:tcPr>
            <w:tcW w:w="9855" w:type="dxa"/>
            <w:gridSpan w:val="4"/>
          </w:tcPr>
          <w:p w:rsidR="00803BF8" w:rsidRPr="00150EA9" w:rsidRDefault="00803BF8" w:rsidP="006E010C">
            <w:pPr>
              <w:pStyle w:val="FinancialsTableH2"/>
            </w:pPr>
            <w:r w:rsidRPr="00150EA9">
              <w:t>Cash received</w:t>
            </w:r>
          </w:p>
        </w:tc>
      </w:tr>
      <w:tr w:rsidR="00803BF8" w:rsidRPr="00150EA9" w:rsidTr="006E010C">
        <w:trPr>
          <w:trHeight w:val="60"/>
        </w:trPr>
        <w:tc>
          <w:tcPr>
            <w:tcW w:w="4536" w:type="dxa"/>
          </w:tcPr>
          <w:p w:rsidR="00803BF8" w:rsidRPr="00150EA9" w:rsidRDefault="00803BF8" w:rsidP="006E010C">
            <w:pPr>
              <w:pStyle w:val="FinancialsTableTextIndented"/>
            </w:pPr>
            <w:r w:rsidRPr="00150EA9">
              <w:t>Appropriations</w:t>
            </w:r>
          </w:p>
        </w:tc>
        <w:tc>
          <w:tcPr>
            <w:tcW w:w="1843" w:type="dxa"/>
          </w:tcPr>
          <w:p w:rsidR="00803BF8" w:rsidRPr="00150EA9" w:rsidRDefault="00803BF8" w:rsidP="00B17D8E">
            <w:pPr>
              <w:pStyle w:val="FinancialsTableText"/>
              <w:jc w:val="right"/>
            </w:pPr>
            <w:r w:rsidRPr="00150EA9">
              <w:t xml:space="preserve"> 23,641 </w:t>
            </w:r>
          </w:p>
        </w:tc>
        <w:tc>
          <w:tcPr>
            <w:tcW w:w="1843" w:type="dxa"/>
          </w:tcPr>
          <w:p w:rsidR="00803BF8" w:rsidRPr="00150EA9" w:rsidRDefault="00803BF8" w:rsidP="00B17D8E">
            <w:pPr>
              <w:pStyle w:val="FinancialsTableText"/>
              <w:jc w:val="right"/>
            </w:pPr>
            <w:r w:rsidRPr="00150EA9">
              <w:t xml:space="preserve"> 12,834 </w:t>
            </w:r>
          </w:p>
        </w:tc>
        <w:tc>
          <w:tcPr>
            <w:tcW w:w="1633" w:type="dxa"/>
          </w:tcPr>
          <w:p w:rsidR="00803BF8" w:rsidRPr="00150EA9" w:rsidRDefault="00803BF8" w:rsidP="00B17D8E">
            <w:pPr>
              <w:pStyle w:val="FinancialsTableText"/>
              <w:jc w:val="right"/>
            </w:pPr>
            <w:r w:rsidRPr="00150EA9">
              <w:t xml:space="preserve"> 10,807 </w:t>
            </w:r>
          </w:p>
        </w:tc>
      </w:tr>
      <w:tr w:rsidR="00803BF8" w:rsidRPr="00150EA9" w:rsidTr="006E010C">
        <w:trPr>
          <w:trHeight w:val="60"/>
        </w:trPr>
        <w:tc>
          <w:tcPr>
            <w:tcW w:w="4536" w:type="dxa"/>
          </w:tcPr>
          <w:p w:rsidR="00803BF8" w:rsidRPr="00150EA9" w:rsidRDefault="00803BF8" w:rsidP="006E010C">
            <w:pPr>
              <w:pStyle w:val="FinancialsTableTextIndented"/>
            </w:pPr>
            <w:r w:rsidRPr="00150EA9">
              <w:t>Sales of goods and rendering of services</w:t>
            </w:r>
          </w:p>
        </w:tc>
        <w:tc>
          <w:tcPr>
            <w:tcW w:w="1843" w:type="dxa"/>
          </w:tcPr>
          <w:p w:rsidR="00803BF8" w:rsidRPr="00150EA9" w:rsidRDefault="00803BF8" w:rsidP="00B17D8E">
            <w:pPr>
              <w:pStyle w:val="FinancialsTableText"/>
              <w:jc w:val="right"/>
            </w:pPr>
            <w:r w:rsidRPr="00150EA9">
              <w:t xml:space="preserve"> 1,316 </w:t>
            </w:r>
          </w:p>
        </w:tc>
        <w:tc>
          <w:tcPr>
            <w:tcW w:w="1843" w:type="dxa"/>
          </w:tcPr>
          <w:p w:rsidR="00803BF8" w:rsidRPr="00150EA9" w:rsidRDefault="00803BF8" w:rsidP="00B17D8E">
            <w:pPr>
              <w:pStyle w:val="FinancialsTableText"/>
              <w:jc w:val="right"/>
            </w:pPr>
            <w:r w:rsidRPr="00150EA9">
              <w:t xml:space="preserve"> – </w:t>
            </w:r>
          </w:p>
        </w:tc>
        <w:tc>
          <w:tcPr>
            <w:tcW w:w="1633" w:type="dxa"/>
          </w:tcPr>
          <w:p w:rsidR="00803BF8" w:rsidRPr="00150EA9" w:rsidRDefault="00803BF8" w:rsidP="00B17D8E">
            <w:pPr>
              <w:pStyle w:val="FinancialsTableText"/>
              <w:jc w:val="right"/>
            </w:pPr>
            <w:r w:rsidRPr="00150EA9">
              <w:t xml:space="preserve"> 1,316 </w:t>
            </w:r>
          </w:p>
        </w:tc>
      </w:tr>
      <w:tr w:rsidR="00803BF8" w:rsidRPr="00150EA9" w:rsidTr="006E010C">
        <w:trPr>
          <w:trHeight w:val="60"/>
        </w:trPr>
        <w:tc>
          <w:tcPr>
            <w:tcW w:w="4536" w:type="dxa"/>
          </w:tcPr>
          <w:p w:rsidR="00803BF8" w:rsidRPr="00150EA9" w:rsidRDefault="00803BF8" w:rsidP="006E010C">
            <w:pPr>
              <w:pStyle w:val="FinancialsTableTextIndented"/>
            </w:pPr>
            <w:r w:rsidRPr="00150EA9">
              <w:t>Other</w:t>
            </w:r>
          </w:p>
        </w:tc>
        <w:tc>
          <w:tcPr>
            <w:tcW w:w="1843" w:type="dxa"/>
          </w:tcPr>
          <w:p w:rsidR="00803BF8" w:rsidRPr="00150EA9" w:rsidRDefault="00803BF8" w:rsidP="00B17D8E">
            <w:pPr>
              <w:pStyle w:val="FinancialsTableText"/>
              <w:jc w:val="right"/>
            </w:pPr>
            <w:r w:rsidRPr="00150EA9">
              <w:t xml:space="preserve"> 71 </w:t>
            </w:r>
          </w:p>
        </w:tc>
        <w:tc>
          <w:tcPr>
            <w:tcW w:w="1843" w:type="dxa"/>
          </w:tcPr>
          <w:p w:rsidR="00803BF8" w:rsidRPr="00150EA9" w:rsidRDefault="00803BF8" w:rsidP="00B17D8E">
            <w:pPr>
              <w:pStyle w:val="FinancialsTableText"/>
              <w:jc w:val="right"/>
            </w:pPr>
            <w:r w:rsidRPr="00150EA9">
              <w:t xml:space="preserve"> – </w:t>
            </w:r>
          </w:p>
        </w:tc>
        <w:tc>
          <w:tcPr>
            <w:tcW w:w="1633" w:type="dxa"/>
          </w:tcPr>
          <w:p w:rsidR="00803BF8" w:rsidRPr="00150EA9" w:rsidRDefault="00803BF8" w:rsidP="00B17D8E">
            <w:pPr>
              <w:pStyle w:val="FinancialsTableText"/>
              <w:jc w:val="right"/>
            </w:pPr>
            <w:r w:rsidRPr="00150EA9">
              <w:t xml:space="preserve"> 71 </w:t>
            </w:r>
          </w:p>
        </w:tc>
      </w:tr>
      <w:tr w:rsidR="00803BF8" w:rsidRPr="00150EA9" w:rsidTr="006E010C">
        <w:trPr>
          <w:trHeight w:val="60"/>
        </w:trPr>
        <w:tc>
          <w:tcPr>
            <w:tcW w:w="4536" w:type="dxa"/>
          </w:tcPr>
          <w:p w:rsidR="00803BF8" w:rsidRPr="00150EA9" w:rsidRDefault="00803BF8" w:rsidP="006E010C">
            <w:pPr>
              <w:pStyle w:val="FinancialsTableTextIndented"/>
            </w:pPr>
            <w:r w:rsidRPr="00150EA9">
              <w:t>Net GST received</w:t>
            </w:r>
          </w:p>
        </w:tc>
        <w:tc>
          <w:tcPr>
            <w:tcW w:w="1843" w:type="dxa"/>
          </w:tcPr>
          <w:p w:rsidR="00803BF8" w:rsidRPr="00150EA9" w:rsidRDefault="00803BF8" w:rsidP="00B17D8E">
            <w:pPr>
              <w:pStyle w:val="FinancialsTableText"/>
              <w:jc w:val="right"/>
            </w:pPr>
            <w:r w:rsidRPr="00150EA9">
              <w:t xml:space="preserve"> 1,047 </w:t>
            </w:r>
          </w:p>
        </w:tc>
        <w:tc>
          <w:tcPr>
            <w:tcW w:w="1843" w:type="dxa"/>
          </w:tcPr>
          <w:p w:rsidR="00803BF8" w:rsidRPr="00150EA9" w:rsidRDefault="00803BF8" w:rsidP="00B17D8E">
            <w:pPr>
              <w:pStyle w:val="FinancialsTableText"/>
              <w:jc w:val="right"/>
            </w:pPr>
            <w:r w:rsidRPr="00150EA9">
              <w:t xml:space="preserve"> 643 </w:t>
            </w:r>
          </w:p>
        </w:tc>
        <w:tc>
          <w:tcPr>
            <w:tcW w:w="1633" w:type="dxa"/>
          </w:tcPr>
          <w:p w:rsidR="00803BF8" w:rsidRPr="00150EA9" w:rsidRDefault="00803BF8" w:rsidP="00B17D8E">
            <w:pPr>
              <w:pStyle w:val="FinancialsTableText"/>
              <w:jc w:val="right"/>
            </w:pPr>
            <w:r w:rsidRPr="00150EA9">
              <w:t xml:space="preserve"> 404 </w:t>
            </w:r>
          </w:p>
        </w:tc>
      </w:tr>
      <w:tr w:rsidR="00803BF8" w:rsidRPr="00150EA9" w:rsidTr="006E010C">
        <w:trPr>
          <w:trHeight w:val="60"/>
        </w:trPr>
        <w:tc>
          <w:tcPr>
            <w:tcW w:w="4536" w:type="dxa"/>
          </w:tcPr>
          <w:p w:rsidR="00803BF8" w:rsidRPr="006E010C" w:rsidRDefault="00803BF8" w:rsidP="00150EA9">
            <w:pPr>
              <w:pStyle w:val="FinancialsTableText"/>
              <w:rPr>
                <w:b/>
              </w:rPr>
            </w:pPr>
            <w:r w:rsidRPr="006E010C">
              <w:rPr>
                <w:b/>
              </w:rPr>
              <w:t>Total cash received</w:t>
            </w:r>
          </w:p>
        </w:tc>
        <w:tc>
          <w:tcPr>
            <w:tcW w:w="1843" w:type="dxa"/>
          </w:tcPr>
          <w:p w:rsidR="00803BF8" w:rsidRPr="006E010C" w:rsidRDefault="00803BF8" w:rsidP="00B17D8E">
            <w:pPr>
              <w:pStyle w:val="FinancialsTableText"/>
              <w:jc w:val="right"/>
              <w:rPr>
                <w:b/>
              </w:rPr>
            </w:pPr>
            <w:r w:rsidRPr="006E010C">
              <w:rPr>
                <w:b/>
              </w:rPr>
              <w:t xml:space="preserve"> 26,075 </w:t>
            </w:r>
          </w:p>
        </w:tc>
        <w:tc>
          <w:tcPr>
            <w:tcW w:w="1843" w:type="dxa"/>
          </w:tcPr>
          <w:p w:rsidR="00803BF8" w:rsidRPr="006E010C" w:rsidRDefault="00803BF8" w:rsidP="00B17D8E">
            <w:pPr>
              <w:pStyle w:val="FinancialsTableText"/>
              <w:jc w:val="right"/>
              <w:rPr>
                <w:b/>
              </w:rPr>
            </w:pPr>
            <w:r w:rsidRPr="006E010C">
              <w:rPr>
                <w:b/>
              </w:rPr>
              <w:t xml:space="preserve"> 13,477 </w:t>
            </w:r>
          </w:p>
        </w:tc>
        <w:tc>
          <w:tcPr>
            <w:tcW w:w="1633" w:type="dxa"/>
          </w:tcPr>
          <w:p w:rsidR="00803BF8" w:rsidRPr="006E010C" w:rsidRDefault="00803BF8" w:rsidP="00B17D8E">
            <w:pPr>
              <w:pStyle w:val="FinancialsTableText"/>
              <w:jc w:val="right"/>
              <w:rPr>
                <w:b/>
              </w:rPr>
            </w:pPr>
            <w:r w:rsidRPr="006E010C">
              <w:rPr>
                <w:b/>
              </w:rPr>
              <w:t xml:space="preserve"> 12,598 </w:t>
            </w:r>
          </w:p>
        </w:tc>
      </w:tr>
      <w:tr w:rsidR="00803BF8" w:rsidRPr="00150EA9" w:rsidTr="006E010C">
        <w:trPr>
          <w:trHeight w:val="60"/>
        </w:trPr>
        <w:tc>
          <w:tcPr>
            <w:tcW w:w="4536" w:type="dxa"/>
          </w:tcPr>
          <w:p w:rsidR="00803BF8" w:rsidRPr="00150EA9" w:rsidRDefault="00803BF8" w:rsidP="006E010C">
            <w:pPr>
              <w:pStyle w:val="FinancialsTableH2"/>
            </w:pPr>
            <w:r w:rsidRPr="00150EA9">
              <w:t>Cash used</w:t>
            </w:r>
          </w:p>
        </w:tc>
        <w:tc>
          <w:tcPr>
            <w:tcW w:w="1843" w:type="dxa"/>
          </w:tcPr>
          <w:p w:rsidR="00803BF8" w:rsidRPr="00150EA9" w:rsidRDefault="00803BF8" w:rsidP="00B17D8E">
            <w:pPr>
              <w:pStyle w:val="FinancialsTableText"/>
              <w:jc w:val="right"/>
            </w:pPr>
          </w:p>
        </w:tc>
        <w:tc>
          <w:tcPr>
            <w:tcW w:w="1843" w:type="dxa"/>
          </w:tcPr>
          <w:p w:rsidR="00803BF8" w:rsidRPr="00150EA9" w:rsidRDefault="00803BF8" w:rsidP="00B17D8E">
            <w:pPr>
              <w:pStyle w:val="FinancialsTableText"/>
              <w:jc w:val="right"/>
            </w:pPr>
            <w:r w:rsidRPr="00150EA9">
              <w:t xml:space="preserve"> – </w:t>
            </w:r>
          </w:p>
        </w:tc>
        <w:tc>
          <w:tcPr>
            <w:tcW w:w="1633" w:type="dxa"/>
          </w:tcPr>
          <w:p w:rsidR="00803BF8" w:rsidRPr="00150EA9" w:rsidRDefault="00803BF8" w:rsidP="00B17D8E">
            <w:pPr>
              <w:pStyle w:val="FinancialsTableText"/>
              <w:jc w:val="right"/>
            </w:pPr>
          </w:p>
        </w:tc>
      </w:tr>
      <w:tr w:rsidR="00803BF8" w:rsidRPr="00150EA9" w:rsidTr="006E010C">
        <w:trPr>
          <w:trHeight w:val="60"/>
        </w:trPr>
        <w:tc>
          <w:tcPr>
            <w:tcW w:w="4536" w:type="dxa"/>
          </w:tcPr>
          <w:p w:rsidR="00803BF8" w:rsidRPr="00150EA9" w:rsidRDefault="00803BF8" w:rsidP="006E010C">
            <w:pPr>
              <w:pStyle w:val="FinancialsTableTextIndented"/>
            </w:pPr>
            <w:r w:rsidRPr="00150EA9">
              <w:t>Employees</w:t>
            </w:r>
          </w:p>
        </w:tc>
        <w:tc>
          <w:tcPr>
            <w:tcW w:w="1843" w:type="dxa"/>
          </w:tcPr>
          <w:p w:rsidR="00803BF8" w:rsidRPr="00150EA9" w:rsidRDefault="00803BF8" w:rsidP="00B17D8E">
            <w:pPr>
              <w:pStyle w:val="FinancialsTableText"/>
              <w:jc w:val="right"/>
            </w:pPr>
            <w:r w:rsidRPr="00150EA9">
              <w:t xml:space="preserve"> 6,908 </w:t>
            </w:r>
          </w:p>
        </w:tc>
        <w:tc>
          <w:tcPr>
            <w:tcW w:w="1843" w:type="dxa"/>
          </w:tcPr>
          <w:p w:rsidR="00803BF8" w:rsidRPr="00150EA9" w:rsidRDefault="00803BF8" w:rsidP="00B17D8E">
            <w:pPr>
              <w:pStyle w:val="FinancialsTableText"/>
              <w:jc w:val="right"/>
            </w:pPr>
            <w:r w:rsidRPr="00150EA9">
              <w:t xml:space="preserve"> 8,769 </w:t>
            </w:r>
          </w:p>
        </w:tc>
        <w:tc>
          <w:tcPr>
            <w:tcW w:w="1633" w:type="dxa"/>
          </w:tcPr>
          <w:p w:rsidR="00803BF8" w:rsidRPr="00150EA9" w:rsidRDefault="00803BF8" w:rsidP="00B17D8E">
            <w:pPr>
              <w:pStyle w:val="FinancialsTableText"/>
              <w:jc w:val="right"/>
            </w:pPr>
            <w:r w:rsidRPr="00150EA9">
              <w:t xml:space="preserve"> (1,861)</w:t>
            </w:r>
          </w:p>
        </w:tc>
      </w:tr>
      <w:tr w:rsidR="00803BF8" w:rsidRPr="00150EA9" w:rsidTr="006E010C">
        <w:trPr>
          <w:trHeight w:val="60"/>
        </w:trPr>
        <w:tc>
          <w:tcPr>
            <w:tcW w:w="4536" w:type="dxa"/>
          </w:tcPr>
          <w:p w:rsidR="00803BF8" w:rsidRPr="00150EA9" w:rsidRDefault="00803BF8" w:rsidP="006E010C">
            <w:pPr>
              <w:pStyle w:val="FinancialsTableTextIndented"/>
            </w:pPr>
            <w:r w:rsidRPr="00150EA9">
              <w:t>Suppliers</w:t>
            </w:r>
          </w:p>
        </w:tc>
        <w:tc>
          <w:tcPr>
            <w:tcW w:w="1843" w:type="dxa"/>
          </w:tcPr>
          <w:p w:rsidR="00803BF8" w:rsidRPr="00150EA9" w:rsidRDefault="00803BF8" w:rsidP="00B17D8E">
            <w:pPr>
              <w:pStyle w:val="FinancialsTableText"/>
              <w:jc w:val="right"/>
            </w:pPr>
            <w:r w:rsidRPr="00150EA9">
              <w:t xml:space="preserve"> 14,186 </w:t>
            </w:r>
          </w:p>
        </w:tc>
        <w:tc>
          <w:tcPr>
            <w:tcW w:w="1843" w:type="dxa"/>
          </w:tcPr>
          <w:p w:rsidR="00803BF8" w:rsidRPr="00150EA9" w:rsidRDefault="00803BF8" w:rsidP="00B17D8E">
            <w:pPr>
              <w:pStyle w:val="FinancialsTableText"/>
              <w:jc w:val="right"/>
            </w:pPr>
            <w:r w:rsidRPr="00150EA9">
              <w:t xml:space="preserve"> 4,097 </w:t>
            </w:r>
          </w:p>
        </w:tc>
        <w:tc>
          <w:tcPr>
            <w:tcW w:w="1633" w:type="dxa"/>
          </w:tcPr>
          <w:p w:rsidR="00803BF8" w:rsidRPr="00150EA9" w:rsidRDefault="00803BF8" w:rsidP="00B17D8E">
            <w:pPr>
              <w:pStyle w:val="FinancialsTableText"/>
              <w:jc w:val="right"/>
            </w:pPr>
            <w:r w:rsidRPr="00150EA9">
              <w:t xml:space="preserve"> 10,089 </w:t>
            </w:r>
          </w:p>
        </w:tc>
      </w:tr>
      <w:tr w:rsidR="00803BF8" w:rsidRPr="00150EA9" w:rsidTr="006E010C">
        <w:trPr>
          <w:trHeight w:val="60"/>
        </w:trPr>
        <w:tc>
          <w:tcPr>
            <w:tcW w:w="4536" w:type="dxa"/>
          </w:tcPr>
          <w:p w:rsidR="00803BF8" w:rsidRPr="00150EA9" w:rsidRDefault="00803BF8" w:rsidP="006E010C">
            <w:pPr>
              <w:pStyle w:val="FinancialsTableTextIndented"/>
            </w:pPr>
            <w:r w:rsidRPr="00150EA9">
              <w:t>Net GST paid</w:t>
            </w:r>
          </w:p>
        </w:tc>
        <w:tc>
          <w:tcPr>
            <w:tcW w:w="1843" w:type="dxa"/>
          </w:tcPr>
          <w:p w:rsidR="00803BF8" w:rsidRPr="00150EA9" w:rsidRDefault="00803BF8" w:rsidP="00B17D8E">
            <w:pPr>
              <w:pStyle w:val="FinancialsTableText"/>
              <w:jc w:val="right"/>
            </w:pPr>
            <w:r w:rsidRPr="00150EA9">
              <w:t xml:space="preserve"> 53 </w:t>
            </w:r>
          </w:p>
        </w:tc>
        <w:tc>
          <w:tcPr>
            <w:tcW w:w="1843" w:type="dxa"/>
          </w:tcPr>
          <w:p w:rsidR="00803BF8" w:rsidRPr="00150EA9" w:rsidRDefault="00803BF8" w:rsidP="00B17D8E">
            <w:pPr>
              <w:pStyle w:val="FinancialsTableText"/>
              <w:jc w:val="right"/>
            </w:pPr>
            <w:r w:rsidRPr="00150EA9">
              <w:t xml:space="preserve"> 556 </w:t>
            </w:r>
          </w:p>
        </w:tc>
        <w:tc>
          <w:tcPr>
            <w:tcW w:w="1633" w:type="dxa"/>
          </w:tcPr>
          <w:p w:rsidR="00803BF8" w:rsidRPr="00150EA9" w:rsidRDefault="00803BF8" w:rsidP="00B17D8E">
            <w:pPr>
              <w:pStyle w:val="FinancialsTableText"/>
              <w:jc w:val="right"/>
            </w:pPr>
            <w:r w:rsidRPr="00150EA9">
              <w:t xml:space="preserve"> (503)</w:t>
            </w:r>
          </w:p>
        </w:tc>
      </w:tr>
      <w:tr w:rsidR="00803BF8" w:rsidRPr="00150EA9" w:rsidTr="006E010C">
        <w:trPr>
          <w:trHeight w:val="60"/>
        </w:trPr>
        <w:tc>
          <w:tcPr>
            <w:tcW w:w="4536" w:type="dxa"/>
          </w:tcPr>
          <w:p w:rsidR="00803BF8" w:rsidRPr="00150EA9" w:rsidRDefault="00803BF8" w:rsidP="006E010C">
            <w:pPr>
              <w:pStyle w:val="FinancialsTableTextIndented"/>
            </w:pPr>
            <w:r w:rsidRPr="00150EA9">
              <w:t>Other</w:t>
            </w:r>
          </w:p>
        </w:tc>
        <w:tc>
          <w:tcPr>
            <w:tcW w:w="1843" w:type="dxa"/>
          </w:tcPr>
          <w:p w:rsidR="00803BF8" w:rsidRPr="00150EA9" w:rsidRDefault="00803BF8" w:rsidP="00B17D8E">
            <w:pPr>
              <w:pStyle w:val="FinancialsTableText"/>
              <w:jc w:val="right"/>
            </w:pPr>
            <w:r w:rsidRPr="00150EA9">
              <w:t xml:space="preserve"> 3 </w:t>
            </w:r>
          </w:p>
        </w:tc>
        <w:tc>
          <w:tcPr>
            <w:tcW w:w="1843" w:type="dxa"/>
          </w:tcPr>
          <w:p w:rsidR="00803BF8" w:rsidRPr="00150EA9" w:rsidRDefault="00803BF8" w:rsidP="00B17D8E">
            <w:pPr>
              <w:pStyle w:val="FinancialsTableText"/>
              <w:jc w:val="right"/>
            </w:pPr>
            <w:r w:rsidRPr="00150EA9">
              <w:t xml:space="preserve"> – </w:t>
            </w:r>
          </w:p>
        </w:tc>
        <w:tc>
          <w:tcPr>
            <w:tcW w:w="1633" w:type="dxa"/>
          </w:tcPr>
          <w:p w:rsidR="00803BF8" w:rsidRPr="00150EA9" w:rsidRDefault="00803BF8" w:rsidP="00B17D8E">
            <w:pPr>
              <w:pStyle w:val="FinancialsTableText"/>
              <w:jc w:val="right"/>
            </w:pPr>
            <w:r w:rsidRPr="00150EA9">
              <w:t xml:space="preserve"> 3 </w:t>
            </w:r>
          </w:p>
        </w:tc>
      </w:tr>
      <w:tr w:rsidR="00803BF8" w:rsidRPr="00150EA9" w:rsidTr="006E010C">
        <w:trPr>
          <w:trHeight w:val="60"/>
        </w:trPr>
        <w:tc>
          <w:tcPr>
            <w:tcW w:w="4536" w:type="dxa"/>
          </w:tcPr>
          <w:p w:rsidR="00803BF8" w:rsidRPr="006E010C" w:rsidRDefault="00803BF8" w:rsidP="00150EA9">
            <w:pPr>
              <w:pStyle w:val="FinancialsTableText"/>
              <w:rPr>
                <w:b/>
              </w:rPr>
            </w:pPr>
            <w:r w:rsidRPr="006E010C">
              <w:rPr>
                <w:b/>
              </w:rPr>
              <w:t>Total cash used</w:t>
            </w:r>
          </w:p>
        </w:tc>
        <w:tc>
          <w:tcPr>
            <w:tcW w:w="1843" w:type="dxa"/>
          </w:tcPr>
          <w:p w:rsidR="00803BF8" w:rsidRPr="006E010C" w:rsidRDefault="00803BF8" w:rsidP="00B17D8E">
            <w:pPr>
              <w:pStyle w:val="FinancialsTableText"/>
              <w:jc w:val="right"/>
              <w:rPr>
                <w:b/>
              </w:rPr>
            </w:pPr>
            <w:r w:rsidRPr="006E010C">
              <w:rPr>
                <w:b/>
              </w:rPr>
              <w:t xml:space="preserve"> 21,150 </w:t>
            </w:r>
          </w:p>
        </w:tc>
        <w:tc>
          <w:tcPr>
            <w:tcW w:w="1843" w:type="dxa"/>
          </w:tcPr>
          <w:p w:rsidR="00803BF8" w:rsidRPr="006E010C" w:rsidRDefault="00803BF8" w:rsidP="00B17D8E">
            <w:pPr>
              <w:pStyle w:val="FinancialsTableText"/>
              <w:jc w:val="right"/>
              <w:rPr>
                <w:b/>
              </w:rPr>
            </w:pPr>
            <w:r w:rsidRPr="006E010C">
              <w:rPr>
                <w:b/>
              </w:rPr>
              <w:t xml:space="preserve"> 13,422 </w:t>
            </w:r>
          </w:p>
        </w:tc>
        <w:tc>
          <w:tcPr>
            <w:tcW w:w="1633" w:type="dxa"/>
          </w:tcPr>
          <w:p w:rsidR="00803BF8" w:rsidRPr="006E010C" w:rsidRDefault="00803BF8" w:rsidP="00B17D8E">
            <w:pPr>
              <w:pStyle w:val="FinancialsTableText"/>
              <w:jc w:val="right"/>
              <w:rPr>
                <w:b/>
              </w:rPr>
            </w:pPr>
            <w:r w:rsidRPr="006E010C">
              <w:rPr>
                <w:b/>
              </w:rPr>
              <w:t xml:space="preserve"> 7,728 </w:t>
            </w:r>
          </w:p>
        </w:tc>
      </w:tr>
      <w:tr w:rsidR="00803BF8" w:rsidRPr="00150EA9" w:rsidTr="006E010C">
        <w:trPr>
          <w:trHeight w:val="60"/>
        </w:trPr>
        <w:tc>
          <w:tcPr>
            <w:tcW w:w="4536" w:type="dxa"/>
          </w:tcPr>
          <w:p w:rsidR="00803BF8" w:rsidRPr="006E010C" w:rsidRDefault="00803BF8" w:rsidP="00150EA9">
            <w:pPr>
              <w:pStyle w:val="FinancialsTableText"/>
              <w:rPr>
                <w:b/>
              </w:rPr>
            </w:pPr>
            <w:r w:rsidRPr="006E010C">
              <w:rPr>
                <w:b/>
              </w:rPr>
              <w:t>Net cash from (used by) operating activities</w:t>
            </w:r>
          </w:p>
        </w:tc>
        <w:tc>
          <w:tcPr>
            <w:tcW w:w="1843" w:type="dxa"/>
          </w:tcPr>
          <w:p w:rsidR="00803BF8" w:rsidRPr="006E010C" w:rsidRDefault="00803BF8" w:rsidP="00B17D8E">
            <w:pPr>
              <w:pStyle w:val="FinancialsTableText"/>
              <w:jc w:val="right"/>
              <w:rPr>
                <w:b/>
              </w:rPr>
            </w:pPr>
            <w:r w:rsidRPr="006E010C">
              <w:rPr>
                <w:b/>
              </w:rPr>
              <w:t xml:space="preserve"> 4,925 </w:t>
            </w:r>
          </w:p>
        </w:tc>
        <w:tc>
          <w:tcPr>
            <w:tcW w:w="1843" w:type="dxa"/>
          </w:tcPr>
          <w:p w:rsidR="00803BF8" w:rsidRPr="006E010C" w:rsidRDefault="00803BF8" w:rsidP="00B17D8E">
            <w:pPr>
              <w:pStyle w:val="FinancialsTableText"/>
              <w:jc w:val="right"/>
              <w:rPr>
                <w:b/>
              </w:rPr>
            </w:pPr>
            <w:r w:rsidRPr="006E010C">
              <w:rPr>
                <w:b/>
              </w:rPr>
              <w:t xml:space="preserve"> 55 </w:t>
            </w:r>
          </w:p>
        </w:tc>
        <w:tc>
          <w:tcPr>
            <w:tcW w:w="1633" w:type="dxa"/>
          </w:tcPr>
          <w:p w:rsidR="00803BF8" w:rsidRPr="006E010C" w:rsidRDefault="00803BF8" w:rsidP="00B17D8E">
            <w:pPr>
              <w:pStyle w:val="FinancialsTableText"/>
              <w:jc w:val="right"/>
              <w:rPr>
                <w:b/>
              </w:rPr>
            </w:pPr>
            <w:r w:rsidRPr="006E010C">
              <w:rPr>
                <w:b/>
              </w:rPr>
              <w:t xml:space="preserve"> 4,870 </w:t>
            </w:r>
          </w:p>
        </w:tc>
      </w:tr>
      <w:tr w:rsidR="00803BF8" w:rsidRPr="00150EA9" w:rsidTr="00150EA9">
        <w:trPr>
          <w:trHeight w:val="60"/>
        </w:trPr>
        <w:tc>
          <w:tcPr>
            <w:tcW w:w="9855" w:type="dxa"/>
            <w:gridSpan w:val="4"/>
          </w:tcPr>
          <w:p w:rsidR="00803BF8" w:rsidRPr="00150EA9" w:rsidRDefault="00803BF8" w:rsidP="006E010C">
            <w:pPr>
              <w:pStyle w:val="FinancialsTableH1"/>
            </w:pPr>
            <w:r w:rsidRPr="00150EA9">
              <w:t>Investing activities</w:t>
            </w:r>
          </w:p>
        </w:tc>
      </w:tr>
      <w:tr w:rsidR="00803BF8" w:rsidRPr="00150EA9" w:rsidTr="00150EA9">
        <w:trPr>
          <w:trHeight w:val="60"/>
        </w:trPr>
        <w:tc>
          <w:tcPr>
            <w:tcW w:w="9855" w:type="dxa"/>
            <w:gridSpan w:val="4"/>
          </w:tcPr>
          <w:p w:rsidR="00803BF8" w:rsidRPr="00150EA9" w:rsidRDefault="00803BF8" w:rsidP="006E010C">
            <w:pPr>
              <w:pStyle w:val="FinancialsTableH2"/>
            </w:pPr>
            <w:r w:rsidRPr="00150EA9">
              <w:t>Cash used</w:t>
            </w:r>
          </w:p>
        </w:tc>
      </w:tr>
      <w:tr w:rsidR="00803BF8" w:rsidRPr="00150EA9" w:rsidTr="006E010C">
        <w:trPr>
          <w:trHeight w:val="60"/>
        </w:trPr>
        <w:tc>
          <w:tcPr>
            <w:tcW w:w="4536" w:type="dxa"/>
          </w:tcPr>
          <w:p w:rsidR="00803BF8" w:rsidRPr="00150EA9" w:rsidRDefault="00803BF8" w:rsidP="006E010C">
            <w:pPr>
              <w:pStyle w:val="FinancialsTableTextIndented"/>
            </w:pPr>
            <w:r w:rsidRPr="00150EA9">
              <w:t>Purchase of property, plant and equipment</w:t>
            </w:r>
          </w:p>
        </w:tc>
        <w:tc>
          <w:tcPr>
            <w:tcW w:w="1843" w:type="dxa"/>
          </w:tcPr>
          <w:p w:rsidR="00803BF8" w:rsidRPr="00150EA9" w:rsidRDefault="00803BF8" w:rsidP="00B17D8E">
            <w:pPr>
              <w:pStyle w:val="FinancialsTableText"/>
              <w:jc w:val="right"/>
            </w:pPr>
            <w:r w:rsidRPr="00150EA9">
              <w:t xml:space="preserve"> 768 </w:t>
            </w:r>
          </w:p>
        </w:tc>
        <w:tc>
          <w:tcPr>
            <w:tcW w:w="1843" w:type="dxa"/>
          </w:tcPr>
          <w:p w:rsidR="00803BF8" w:rsidRPr="00150EA9" w:rsidRDefault="00803BF8" w:rsidP="00B17D8E">
            <w:pPr>
              <w:pStyle w:val="FinancialsTableText"/>
              <w:jc w:val="right"/>
            </w:pPr>
            <w:r w:rsidRPr="00150EA9">
              <w:t xml:space="preserve"> 198 </w:t>
            </w:r>
          </w:p>
        </w:tc>
        <w:tc>
          <w:tcPr>
            <w:tcW w:w="1633" w:type="dxa"/>
          </w:tcPr>
          <w:p w:rsidR="00803BF8" w:rsidRPr="00150EA9" w:rsidRDefault="00803BF8" w:rsidP="00B17D8E">
            <w:pPr>
              <w:pStyle w:val="FinancialsTableText"/>
              <w:jc w:val="right"/>
            </w:pPr>
            <w:r w:rsidRPr="00150EA9">
              <w:t xml:space="preserve"> 570 </w:t>
            </w:r>
          </w:p>
        </w:tc>
      </w:tr>
      <w:tr w:rsidR="00803BF8" w:rsidRPr="00150EA9" w:rsidTr="006E010C">
        <w:trPr>
          <w:trHeight w:val="60"/>
        </w:trPr>
        <w:tc>
          <w:tcPr>
            <w:tcW w:w="4536" w:type="dxa"/>
          </w:tcPr>
          <w:p w:rsidR="00803BF8" w:rsidRPr="006E010C" w:rsidRDefault="00803BF8" w:rsidP="00150EA9">
            <w:pPr>
              <w:pStyle w:val="FinancialsTableText"/>
              <w:rPr>
                <w:b/>
              </w:rPr>
            </w:pPr>
            <w:r w:rsidRPr="006E010C">
              <w:rPr>
                <w:b/>
              </w:rPr>
              <w:t>Total cash used</w:t>
            </w:r>
          </w:p>
        </w:tc>
        <w:tc>
          <w:tcPr>
            <w:tcW w:w="1843" w:type="dxa"/>
          </w:tcPr>
          <w:p w:rsidR="00803BF8" w:rsidRPr="006E010C" w:rsidRDefault="00803BF8" w:rsidP="00B17D8E">
            <w:pPr>
              <w:pStyle w:val="FinancialsTableText"/>
              <w:jc w:val="right"/>
              <w:rPr>
                <w:b/>
              </w:rPr>
            </w:pPr>
            <w:r w:rsidRPr="006E010C">
              <w:rPr>
                <w:b/>
              </w:rPr>
              <w:t xml:space="preserve"> 768 </w:t>
            </w:r>
          </w:p>
        </w:tc>
        <w:tc>
          <w:tcPr>
            <w:tcW w:w="1843" w:type="dxa"/>
          </w:tcPr>
          <w:p w:rsidR="00803BF8" w:rsidRPr="006E010C" w:rsidRDefault="00803BF8" w:rsidP="00B17D8E">
            <w:pPr>
              <w:pStyle w:val="FinancialsTableText"/>
              <w:jc w:val="right"/>
              <w:rPr>
                <w:b/>
              </w:rPr>
            </w:pPr>
            <w:r w:rsidRPr="006E010C">
              <w:rPr>
                <w:b/>
              </w:rPr>
              <w:t xml:space="preserve"> 198 </w:t>
            </w:r>
          </w:p>
        </w:tc>
        <w:tc>
          <w:tcPr>
            <w:tcW w:w="1633" w:type="dxa"/>
          </w:tcPr>
          <w:p w:rsidR="00803BF8" w:rsidRPr="006E010C" w:rsidRDefault="00803BF8" w:rsidP="00B17D8E">
            <w:pPr>
              <w:pStyle w:val="FinancialsTableText"/>
              <w:jc w:val="right"/>
              <w:rPr>
                <w:b/>
              </w:rPr>
            </w:pPr>
            <w:r w:rsidRPr="006E010C">
              <w:rPr>
                <w:b/>
              </w:rPr>
              <w:t xml:space="preserve"> 570 </w:t>
            </w:r>
          </w:p>
        </w:tc>
      </w:tr>
      <w:tr w:rsidR="00803BF8" w:rsidRPr="00150EA9" w:rsidTr="006E010C">
        <w:trPr>
          <w:trHeight w:val="60"/>
        </w:trPr>
        <w:tc>
          <w:tcPr>
            <w:tcW w:w="4536" w:type="dxa"/>
          </w:tcPr>
          <w:p w:rsidR="00803BF8" w:rsidRPr="006E010C" w:rsidRDefault="00803BF8" w:rsidP="00150EA9">
            <w:pPr>
              <w:pStyle w:val="FinancialsTableText"/>
              <w:rPr>
                <w:b/>
              </w:rPr>
            </w:pPr>
            <w:r w:rsidRPr="006E010C">
              <w:rPr>
                <w:b/>
              </w:rPr>
              <w:t>Net cash (used by) investing activities</w:t>
            </w:r>
          </w:p>
        </w:tc>
        <w:tc>
          <w:tcPr>
            <w:tcW w:w="1843" w:type="dxa"/>
          </w:tcPr>
          <w:p w:rsidR="00803BF8" w:rsidRPr="006E010C" w:rsidRDefault="00803BF8" w:rsidP="00B17D8E">
            <w:pPr>
              <w:pStyle w:val="FinancialsTableText"/>
              <w:jc w:val="right"/>
              <w:rPr>
                <w:b/>
              </w:rPr>
            </w:pPr>
            <w:r w:rsidRPr="006E010C">
              <w:rPr>
                <w:b/>
              </w:rPr>
              <w:t xml:space="preserve"> (768)</w:t>
            </w:r>
          </w:p>
        </w:tc>
        <w:tc>
          <w:tcPr>
            <w:tcW w:w="1843" w:type="dxa"/>
          </w:tcPr>
          <w:p w:rsidR="00803BF8" w:rsidRPr="006E010C" w:rsidRDefault="00803BF8" w:rsidP="00B17D8E">
            <w:pPr>
              <w:pStyle w:val="FinancialsTableText"/>
              <w:jc w:val="right"/>
              <w:rPr>
                <w:b/>
              </w:rPr>
            </w:pPr>
            <w:r w:rsidRPr="006E010C">
              <w:rPr>
                <w:b/>
              </w:rPr>
              <w:t xml:space="preserve"> (198)</w:t>
            </w:r>
          </w:p>
        </w:tc>
        <w:tc>
          <w:tcPr>
            <w:tcW w:w="1633" w:type="dxa"/>
          </w:tcPr>
          <w:p w:rsidR="00803BF8" w:rsidRPr="006E010C" w:rsidRDefault="00803BF8" w:rsidP="00B17D8E">
            <w:pPr>
              <w:pStyle w:val="FinancialsTableText"/>
              <w:jc w:val="right"/>
              <w:rPr>
                <w:b/>
              </w:rPr>
            </w:pPr>
            <w:r w:rsidRPr="006E010C">
              <w:rPr>
                <w:b/>
              </w:rPr>
              <w:t xml:space="preserve"> (570)</w:t>
            </w:r>
          </w:p>
        </w:tc>
      </w:tr>
      <w:tr w:rsidR="00803BF8" w:rsidRPr="00150EA9" w:rsidTr="00150EA9">
        <w:trPr>
          <w:trHeight w:val="60"/>
        </w:trPr>
        <w:tc>
          <w:tcPr>
            <w:tcW w:w="9855" w:type="dxa"/>
            <w:gridSpan w:val="4"/>
          </w:tcPr>
          <w:p w:rsidR="00803BF8" w:rsidRPr="00150EA9" w:rsidRDefault="00803BF8" w:rsidP="006E010C">
            <w:pPr>
              <w:pStyle w:val="FinancialsTableH1"/>
            </w:pPr>
            <w:r w:rsidRPr="00150EA9">
              <w:t>Financing activities</w:t>
            </w:r>
          </w:p>
        </w:tc>
      </w:tr>
      <w:tr w:rsidR="00803BF8" w:rsidRPr="00150EA9" w:rsidTr="00150EA9">
        <w:trPr>
          <w:trHeight w:val="60"/>
        </w:trPr>
        <w:tc>
          <w:tcPr>
            <w:tcW w:w="9855" w:type="dxa"/>
            <w:gridSpan w:val="4"/>
          </w:tcPr>
          <w:p w:rsidR="00803BF8" w:rsidRPr="00150EA9" w:rsidRDefault="00803BF8" w:rsidP="00B17D8E">
            <w:pPr>
              <w:pStyle w:val="FinancialsTableH2"/>
            </w:pPr>
            <w:r w:rsidRPr="00150EA9">
              <w:t>Cash received</w:t>
            </w:r>
          </w:p>
        </w:tc>
      </w:tr>
      <w:tr w:rsidR="00803BF8" w:rsidRPr="00150EA9" w:rsidTr="006E010C">
        <w:trPr>
          <w:trHeight w:val="60"/>
        </w:trPr>
        <w:tc>
          <w:tcPr>
            <w:tcW w:w="4536" w:type="dxa"/>
          </w:tcPr>
          <w:p w:rsidR="00803BF8" w:rsidRPr="00150EA9" w:rsidRDefault="00803BF8" w:rsidP="00B17D8E">
            <w:pPr>
              <w:pStyle w:val="FinancialsTableTextIndented"/>
            </w:pPr>
            <w:r w:rsidRPr="00150EA9">
              <w:t>Contributed equity</w:t>
            </w:r>
          </w:p>
        </w:tc>
        <w:tc>
          <w:tcPr>
            <w:tcW w:w="1843" w:type="dxa"/>
          </w:tcPr>
          <w:p w:rsidR="00803BF8" w:rsidRPr="00150EA9" w:rsidRDefault="00803BF8" w:rsidP="00B17D8E">
            <w:pPr>
              <w:pStyle w:val="FinancialsTableText"/>
              <w:jc w:val="right"/>
            </w:pPr>
            <w:r w:rsidRPr="00150EA9">
              <w:t xml:space="preserve"> 273 </w:t>
            </w:r>
          </w:p>
        </w:tc>
        <w:tc>
          <w:tcPr>
            <w:tcW w:w="1843" w:type="dxa"/>
          </w:tcPr>
          <w:p w:rsidR="00803BF8" w:rsidRPr="00150EA9" w:rsidRDefault="00803BF8" w:rsidP="00B17D8E">
            <w:pPr>
              <w:pStyle w:val="FinancialsTableText"/>
              <w:jc w:val="right"/>
            </w:pPr>
            <w:r w:rsidRPr="00150EA9">
              <w:t xml:space="preserve"> 198 </w:t>
            </w:r>
          </w:p>
        </w:tc>
        <w:tc>
          <w:tcPr>
            <w:tcW w:w="1633" w:type="dxa"/>
          </w:tcPr>
          <w:p w:rsidR="00803BF8" w:rsidRPr="00150EA9" w:rsidRDefault="00803BF8" w:rsidP="00B17D8E">
            <w:pPr>
              <w:pStyle w:val="FinancialsTableText"/>
              <w:jc w:val="right"/>
            </w:pPr>
            <w:r w:rsidRPr="00150EA9">
              <w:t xml:space="preserve"> 75 </w:t>
            </w:r>
          </w:p>
        </w:tc>
      </w:tr>
      <w:tr w:rsidR="00803BF8" w:rsidRPr="00150EA9" w:rsidTr="006E010C">
        <w:trPr>
          <w:trHeight w:val="60"/>
        </w:trPr>
        <w:tc>
          <w:tcPr>
            <w:tcW w:w="4536" w:type="dxa"/>
          </w:tcPr>
          <w:p w:rsidR="00803BF8" w:rsidRPr="00B17D8E" w:rsidRDefault="00803BF8" w:rsidP="00150EA9">
            <w:pPr>
              <w:pStyle w:val="FinancialsTableText"/>
              <w:rPr>
                <w:b/>
              </w:rPr>
            </w:pPr>
            <w:r w:rsidRPr="00B17D8E">
              <w:rPr>
                <w:b/>
              </w:rPr>
              <w:t>Total cash received</w:t>
            </w:r>
          </w:p>
        </w:tc>
        <w:tc>
          <w:tcPr>
            <w:tcW w:w="1843" w:type="dxa"/>
          </w:tcPr>
          <w:p w:rsidR="00803BF8" w:rsidRPr="00B17D8E" w:rsidRDefault="00803BF8" w:rsidP="00B17D8E">
            <w:pPr>
              <w:pStyle w:val="FinancialsTableText"/>
              <w:jc w:val="right"/>
              <w:rPr>
                <w:b/>
              </w:rPr>
            </w:pPr>
            <w:r w:rsidRPr="00B17D8E">
              <w:rPr>
                <w:b/>
              </w:rPr>
              <w:t xml:space="preserve"> 273 </w:t>
            </w:r>
          </w:p>
        </w:tc>
        <w:tc>
          <w:tcPr>
            <w:tcW w:w="1843" w:type="dxa"/>
          </w:tcPr>
          <w:p w:rsidR="00803BF8" w:rsidRPr="00B17D8E" w:rsidRDefault="00803BF8" w:rsidP="00B17D8E">
            <w:pPr>
              <w:pStyle w:val="FinancialsTableText"/>
              <w:jc w:val="right"/>
              <w:rPr>
                <w:b/>
              </w:rPr>
            </w:pPr>
            <w:r w:rsidRPr="00B17D8E">
              <w:rPr>
                <w:b/>
              </w:rPr>
              <w:t xml:space="preserve"> 198 </w:t>
            </w:r>
          </w:p>
        </w:tc>
        <w:tc>
          <w:tcPr>
            <w:tcW w:w="1633" w:type="dxa"/>
          </w:tcPr>
          <w:p w:rsidR="00803BF8" w:rsidRPr="00B17D8E" w:rsidRDefault="00803BF8" w:rsidP="00B17D8E">
            <w:pPr>
              <w:pStyle w:val="FinancialsTableText"/>
              <w:jc w:val="right"/>
              <w:rPr>
                <w:b/>
              </w:rPr>
            </w:pPr>
            <w:r w:rsidRPr="00B17D8E">
              <w:rPr>
                <w:b/>
              </w:rPr>
              <w:t xml:space="preserve"> 75 </w:t>
            </w:r>
          </w:p>
        </w:tc>
      </w:tr>
      <w:tr w:rsidR="00803BF8" w:rsidRPr="00150EA9" w:rsidTr="006E010C">
        <w:trPr>
          <w:trHeight w:val="60"/>
        </w:trPr>
        <w:tc>
          <w:tcPr>
            <w:tcW w:w="4536" w:type="dxa"/>
          </w:tcPr>
          <w:p w:rsidR="00803BF8" w:rsidRPr="00B17D8E" w:rsidRDefault="00803BF8" w:rsidP="00150EA9">
            <w:pPr>
              <w:pStyle w:val="FinancialsTableText"/>
              <w:rPr>
                <w:b/>
              </w:rPr>
            </w:pPr>
            <w:r w:rsidRPr="00B17D8E">
              <w:rPr>
                <w:b/>
              </w:rPr>
              <w:t>Net cash from financing activities</w:t>
            </w:r>
          </w:p>
        </w:tc>
        <w:tc>
          <w:tcPr>
            <w:tcW w:w="1843" w:type="dxa"/>
          </w:tcPr>
          <w:p w:rsidR="00803BF8" w:rsidRPr="00B17D8E" w:rsidRDefault="00803BF8" w:rsidP="00B17D8E">
            <w:pPr>
              <w:pStyle w:val="FinancialsTableText"/>
              <w:jc w:val="right"/>
              <w:rPr>
                <w:b/>
              </w:rPr>
            </w:pPr>
            <w:r w:rsidRPr="00B17D8E">
              <w:rPr>
                <w:b/>
              </w:rPr>
              <w:t xml:space="preserve"> 273 </w:t>
            </w:r>
          </w:p>
        </w:tc>
        <w:tc>
          <w:tcPr>
            <w:tcW w:w="1843" w:type="dxa"/>
          </w:tcPr>
          <w:p w:rsidR="00803BF8" w:rsidRPr="00B17D8E" w:rsidRDefault="00803BF8" w:rsidP="00B17D8E">
            <w:pPr>
              <w:pStyle w:val="FinancialsTableText"/>
              <w:jc w:val="right"/>
              <w:rPr>
                <w:b/>
              </w:rPr>
            </w:pPr>
            <w:r w:rsidRPr="00B17D8E">
              <w:rPr>
                <w:b/>
              </w:rPr>
              <w:t xml:space="preserve"> 198 </w:t>
            </w:r>
          </w:p>
        </w:tc>
        <w:tc>
          <w:tcPr>
            <w:tcW w:w="1633" w:type="dxa"/>
          </w:tcPr>
          <w:p w:rsidR="00803BF8" w:rsidRPr="00B17D8E" w:rsidRDefault="00803BF8" w:rsidP="00B17D8E">
            <w:pPr>
              <w:pStyle w:val="FinancialsTableText"/>
              <w:jc w:val="right"/>
              <w:rPr>
                <w:b/>
              </w:rPr>
            </w:pPr>
            <w:r w:rsidRPr="00B17D8E">
              <w:rPr>
                <w:b/>
              </w:rPr>
              <w:t xml:space="preserve"> 75 </w:t>
            </w:r>
          </w:p>
        </w:tc>
      </w:tr>
      <w:tr w:rsidR="00803BF8" w:rsidRPr="00150EA9" w:rsidTr="006E010C">
        <w:trPr>
          <w:trHeight w:val="60"/>
        </w:trPr>
        <w:tc>
          <w:tcPr>
            <w:tcW w:w="4536" w:type="dxa"/>
          </w:tcPr>
          <w:p w:rsidR="00803BF8" w:rsidRPr="00B17D8E" w:rsidRDefault="00803BF8" w:rsidP="00150EA9">
            <w:pPr>
              <w:pStyle w:val="FinancialsTableText"/>
              <w:rPr>
                <w:b/>
              </w:rPr>
            </w:pPr>
            <w:r w:rsidRPr="00B17D8E">
              <w:rPr>
                <w:b/>
              </w:rPr>
              <w:t>Net increase (decrease) in cash held</w:t>
            </w:r>
          </w:p>
        </w:tc>
        <w:tc>
          <w:tcPr>
            <w:tcW w:w="1843" w:type="dxa"/>
          </w:tcPr>
          <w:p w:rsidR="00803BF8" w:rsidRPr="00B17D8E" w:rsidRDefault="00803BF8" w:rsidP="00B17D8E">
            <w:pPr>
              <w:pStyle w:val="FinancialsTableText"/>
              <w:jc w:val="right"/>
              <w:rPr>
                <w:b/>
              </w:rPr>
            </w:pPr>
            <w:r w:rsidRPr="00B17D8E">
              <w:rPr>
                <w:b/>
              </w:rPr>
              <w:t xml:space="preserve"> 4,430 </w:t>
            </w:r>
          </w:p>
        </w:tc>
        <w:tc>
          <w:tcPr>
            <w:tcW w:w="1843" w:type="dxa"/>
          </w:tcPr>
          <w:p w:rsidR="00803BF8" w:rsidRPr="00B17D8E" w:rsidRDefault="00803BF8" w:rsidP="00B17D8E">
            <w:pPr>
              <w:pStyle w:val="FinancialsTableText"/>
              <w:jc w:val="right"/>
              <w:rPr>
                <w:b/>
              </w:rPr>
            </w:pPr>
            <w:r w:rsidRPr="00B17D8E">
              <w:rPr>
                <w:b/>
              </w:rPr>
              <w:t xml:space="preserve"> 55 </w:t>
            </w:r>
          </w:p>
        </w:tc>
        <w:tc>
          <w:tcPr>
            <w:tcW w:w="1633" w:type="dxa"/>
          </w:tcPr>
          <w:p w:rsidR="00803BF8" w:rsidRPr="00B17D8E" w:rsidRDefault="00803BF8" w:rsidP="00B17D8E">
            <w:pPr>
              <w:pStyle w:val="FinancialsTableText"/>
              <w:jc w:val="right"/>
              <w:rPr>
                <w:b/>
              </w:rPr>
            </w:pPr>
            <w:r w:rsidRPr="00B17D8E">
              <w:rPr>
                <w:b/>
              </w:rPr>
              <w:t xml:space="preserve"> 4,375 </w:t>
            </w:r>
          </w:p>
        </w:tc>
      </w:tr>
      <w:tr w:rsidR="00803BF8" w:rsidRPr="00150EA9" w:rsidTr="00063129">
        <w:trPr>
          <w:trHeight w:val="60"/>
        </w:trPr>
        <w:tc>
          <w:tcPr>
            <w:tcW w:w="4536" w:type="dxa"/>
          </w:tcPr>
          <w:p w:rsidR="00803BF8" w:rsidRPr="00150EA9" w:rsidRDefault="00803BF8" w:rsidP="00150EA9">
            <w:pPr>
              <w:pStyle w:val="FinancialsTableText"/>
            </w:pPr>
            <w:r w:rsidRPr="00150EA9">
              <w:t>Cash and cash equivalents at the beginning of the reporting period</w:t>
            </w:r>
          </w:p>
        </w:tc>
        <w:tc>
          <w:tcPr>
            <w:tcW w:w="1843" w:type="dxa"/>
            <w:vAlign w:val="bottom"/>
          </w:tcPr>
          <w:p w:rsidR="00803BF8" w:rsidRPr="00150EA9" w:rsidRDefault="00803BF8" w:rsidP="00063129">
            <w:pPr>
              <w:pStyle w:val="FinancialsTableText"/>
              <w:jc w:val="right"/>
            </w:pPr>
            <w:r w:rsidRPr="00150EA9">
              <w:t xml:space="preserve"> 313 </w:t>
            </w:r>
          </w:p>
        </w:tc>
        <w:tc>
          <w:tcPr>
            <w:tcW w:w="1843" w:type="dxa"/>
            <w:vAlign w:val="bottom"/>
          </w:tcPr>
          <w:p w:rsidR="00803BF8" w:rsidRPr="00150EA9" w:rsidRDefault="00803BF8" w:rsidP="00063129">
            <w:pPr>
              <w:pStyle w:val="FinancialsTableText"/>
              <w:jc w:val="right"/>
            </w:pPr>
            <w:r w:rsidRPr="00150EA9">
              <w:t xml:space="preserve"> 83 </w:t>
            </w:r>
          </w:p>
        </w:tc>
        <w:tc>
          <w:tcPr>
            <w:tcW w:w="1633" w:type="dxa"/>
            <w:vAlign w:val="bottom"/>
          </w:tcPr>
          <w:p w:rsidR="00803BF8" w:rsidRPr="00150EA9" w:rsidRDefault="00803BF8" w:rsidP="00063129">
            <w:pPr>
              <w:pStyle w:val="FinancialsTableText"/>
              <w:jc w:val="right"/>
            </w:pPr>
            <w:r w:rsidRPr="00150EA9">
              <w:t xml:space="preserve"> 230 </w:t>
            </w:r>
          </w:p>
        </w:tc>
      </w:tr>
      <w:tr w:rsidR="00803BF8" w:rsidRPr="00150EA9" w:rsidTr="006E010C">
        <w:trPr>
          <w:trHeight w:val="60"/>
        </w:trPr>
        <w:tc>
          <w:tcPr>
            <w:tcW w:w="4536" w:type="dxa"/>
          </w:tcPr>
          <w:p w:rsidR="00803BF8" w:rsidRPr="00B17D8E" w:rsidRDefault="00803BF8" w:rsidP="00150EA9">
            <w:pPr>
              <w:pStyle w:val="FinancialsTableText"/>
              <w:rPr>
                <w:b/>
              </w:rPr>
            </w:pPr>
            <w:r w:rsidRPr="00B17D8E">
              <w:rPr>
                <w:b/>
              </w:rPr>
              <w:t>Cash and cash equivalents at the end of the reporting period</w:t>
            </w:r>
          </w:p>
        </w:tc>
        <w:tc>
          <w:tcPr>
            <w:tcW w:w="1843" w:type="dxa"/>
          </w:tcPr>
          <w:p w:rsidR="00803BF8" w:rsidRPr="00B17D8E" w:rsidRDefault="00803BF8" w:rsidP="00B17D8E">
            <w:pPr>
              <w:pStyle w:val="FinancialsTableText"/>
              <w:jc w:val="right"/>
              <w:rPr>
                <w:b/>
              </w:rPr>
            </w:pPr>
            <w:r w:rsidRPr="00B17D8E">
              <w:rPr>
                <w:b/>
              </w:rPr>
              <w:t xml:space="preserve"> 4,743 </w:t>
            </w:r>
          </w:p>
        </w:tc>
        <w:tc>
          <w:tcPr>
            <w:tcW w:w="1843" w:type="dxa"/>
          </w:tcPr>
          <w:p w:rsidR="00803BF8" w:rsidRPr="00B17D8E" w:rsidRDefault="00803BF8" w:rsidP="00B17D8E">
            <w:pPr>
              <w:pStyle w:val="FinancialsTableText"/>
              <w:jc w:val="right"/>
              <w:rPr>
                <w:b/>
              </w:rPr>
            </w:pPr>
            <w:r w:rsidRPr="00B17D8E">
              <w:rPr>
                <w:b/>
              </w:rPr>
              <w:t xml:space="preserve"> 138 </w:t>
            </w:r>
          </w:p>
        </w:tc>
        <w:tc>
          <w:tcPr>
            <w:tcW w:w="1633" w:type="dxa"/>
          </w:tcPr>
          <w:p w:rsidR="00803BF8" w:rsidRPr="00B17D8E" w:rsidRDefault="00803BF8" w:rsidP="00B17D8E">
            <w:pPr>
              <w:pStyle w:val="FinancialsTableText"/>
              <w:jc w:val="right"/>
              <w:rPr>
                <w:b/>
              </w:rPr>
            </w:pPr>
            <w:r w:rsidRPr="00B17D8E">
              <w:rPr>
                <w:b/>
              </w:rPr>
              <w:t xml:space="preserve"> 4,605 </w:t>
            </w:r>
          </w:p>
        </w:tc>
      </w:tr>
    </w:tbl>
    <w:p w:rsidR="00B17D8E" w:rsidRDefault="00B17D8E" w:rsidP="006B7B5A">
      <w:pPr>
        <w:pStyle w:val="SourceNotesText"/>
        <w:rPr>
          <w:b/>
          <w:lang w:val="en-GB"/>
        </w:rPr>
      </w:pPr>
      <w:r>
        <w:rPr>
          <w:b/>
          <w:lang w:val="en-GB"/>
        </w:rPr>
        <w:br w:type="page"/>
      </w:r>
    </w:p>
    <w:p w:rsidR="006B7B5A" w:rsidRPr="006B7B5A" w:rsidRDefault="006B7B5A" w:rsidP="006B7B5A">
      <w:pPr>
        <w:pStyle w:val="SourceNotesText"/>
        <w:rPr>
          <w:b/>
          <w:lang w:val="en-GB"/>
        </w:rPr>
      </w:pPr>
      <w:r w:rsidRPr="006B7B5A">
        <w:rPr>
          <w:b/>
          <w:lang w:val="en-GB"/>
        </w:rPr>
        <w:t>Notes</w:t>
      </w:r>
    </w:p>
    <w:p w:rsidR="006B7B5A" w:rsidRPr="006B7B5A" w:rsidRDefault="006B7B5A" w:rsidP="006B7B5A">
      <w:pPr>
        <w:pStyle w:val="SourceNotesText"/>
        <w:rPr>
          <w:b/>
          <w:lang w:val="en-GB"/>
        </w:rPr>
      </w:pPr>
      <w:r w:rsidRPr="006B7B5A">
        <w:rPr>
          <w:b/>
          <w:lang w:val="en-GB"/>
        </w:rPr>
        <w:t>1 Variance analysis</w:t>
      </w:r>
    </w:p>
    <w:p w:rsidR="006B7B5A" w:rsidRPr="006B7B5A" w:rsidRDefault="006B7B5A" w:rsidP="006B7B5A">
      <w:pPr>
        <w:pStyle w:val="SourceNotesText"/>
        <w:rPr>
          <w:b/>
          <w:lang w:val="en-GB"/>
        </w:rPr>
      </w:pPr>
      <w:r w:rsidRPr="006B7B5A">
        <w:rPr>
          <w:b/>
          <w:lang w:val="en-GB"/>
        </w:rPr>
        <w:t xml:space="preserve">Cash received: </w:t>
      </w:r>
    </w:p>
    <w:p w:rsidR="006B7B5A" w:rsidRPr="006B7B5A" w:rsidRDefault="006B7B5A" w:rsidP="006B7B5A">
      <w:pPr>
        <w:pStyle w:val="SourceNotesText"/>
        <w:rPr>
          <w:lang w:val="en-GB"/>
        </w:rPr>
      </w:pPr>
      <w:r w:rsidRPr="006B7B5A">
        <w:rPr>
          <w:lang w:val="en-GB"/>
        </w:rPr>
        <w:t xml:space="preserve">During 2014–15, IHPA also received an Appropriation originally budgeted as an Administered item of $12,277,000. </w:t>
      </w:r>
    </w:p>
    <w:p w:rsidR="006B7B5A" w:rsidRPr="006B7B5A" w:rsidRDefault="006B7B5A" w:rsidP="006B7B5A">
      <w:pPr>
        <w:pStyle w:val="SourceNotesText"/>
        <w:rPr>
          <w:lang w:val="en-GB"/>
        </w:rPr>
      </w:pPr>
      <w:r w:rsidRPr="006B7B5A">
        <w:rPr>
          <w:lang w:val="en-GB"/>
        </w:rPr>
        <w:t>Sales of goods and rendering of services contains cash received for sale of Australian Refined Diagnosis Related Groups classification systems, the annual Activity Based Funding conference. Variance in GST received is commensurate with additional expenditure.</w:t>
      </w:r>
    </w:p>
    <w:p w:rsidR="006B7B5A" w:rsidRPr="006B7B5A" w:rsidRDefault="006B7B5A" w:rsidP="006B7B5A">
      <w:pPr>
        <w:pStyle w:val="SourceNotesText"/>
        <w:rPr>
          <w:b/>
          <w:lang w:val="en-GB"/>
        </w:rPr>
      </w:pPr>
      <w:r w:rsidRPr="006B7B5A">
        <w:rPr>
          <w:b/>
          <w:lang w:val="en-GB"/>
        </w:rPr>
        <w:t>Cash Used:</w:t>
      </w:r>
    </w:p>
    <w:p w:rsidR="006B7B5A" w:rsidRPr="006B7B5A" w:rsidRDefault="006B7B5A" w:rsidP="006B7B5A">
      <w:pPr>
        <w:pStyle w:val="SourceNotesText"/>
        <w:rPr>
          <w:lang w:val="en-GB"/>
        </w:rPr>
      </w:pPr>
      <w:r w:rsidRPr="006B7B5A">
        <w:rPr>
          <w:lang w:val="en-GB"/>
        </w:rPr>
        <w:t>Employee benefits: IHPA staffing levels were below budget due to application of Government interim recruitment arrangements.</w:t>
      </w:r>
    </w:p>
    <w:p w:rsidR="006B7B5A" w:rsidRPr="006B7B5A" w:rsidRDefault="006B7B5A" w:rsidP="006B7B5A">
      <w:pPr>
        <w:pStyle w:val="SourceNotesText"/>
        <w:rPr>
          <w:lang w:val="en-GB"/>
        </w:rPr>
      </w:pPr>
      <w:r w:rsidRPr="006B7B5A">
        <w:rPr>
          <w:lang w:val="en-GB"/>
        </w:rPr>
        <w:t>Supplier variance reflects expenditure originally budgeted in Administered offset by an increase in balance sheet payables and provisions. The $53,000 in GST paid is the amount of GST IHPA remitted to the ATO for own source revenue.</w:t>
      </w:r>
    </w:p>
    <w:p w:rsidR="006B7B5A" w:rsidRPr="006B7B5A" w:rsidRDefault="006B7B5A" w:rsidP="006B7B5A">
      <w:pPr>
        <w:pStyle w:val="SourceNotesText"/>
        <w:rPr>
          <w:lang w:val="en-GB"/>
        </w:rPr>
      </w:pPr>
      <w:r w:rsidRPr="006B7B5A">
        <w:rPr>
          <w:lang w:val="en-GB"/>
        </w:rPr>
        <w:t>Purchase of property plant and equipment was higher than budget as a result of the purchase of analytical software tools and intellectual property used in the development of clinical classification systems.</w:t>
      </w:r>
    </w:p>
    <w:p w:rsidR="00E02472" w:rsidRDefault="00E02472" w:rsidP="006B7B5A">
      <w:pPr>
        <w:sectPr w:rsidR="00E02472" w:rsidSect="00A34FF3">
          <w:headerReference w:type="default" r:id="rId42"/>
          <w:pgSz w:w="11906" w:h="16838" w:code="9"/>
          <w:pgMar w:top="1588" w:right="1021" w:bottom="851" w:left="1021" w:header="567" w:footer="510" w:gutter="0"/>
          <w:cols w:space="708"/>
          <w:docGrid w:linePitch="360"/>
        </w:sectPr>
      </w:pPr>
    </w:p>
    <w:p w:rsidR="00B767AF" w:rsidRDefault="00B767AF" w:rsidP="00D72F4F">
      <w:pPr>
        <w:pStyle w:val="FinancialsH2"/>
        <w:spacing w:before="0"/>
      </w:pPr>
      <w:bookmarkStart w:id="45" w:name="_Toc433193225"/>
      <w:r>
        <w:t>Statement of changes in equity</w:t>
      </w:r>
      <w:bookmarkEnd w:id="45"/>
    </w:p>
    <w:p w:rsidR="00E02472" w:rsidRDefault="00B767AF" w:rsidP="00B767AF">
      <w:pPr>
        <w:spacing w:before="0"/>
      </w:pPr>
      <w:r>
        <w:t>for the year ended 30 June 2015</w:t>
      </w:r>
    </w:p>
    <w:tbl>
      <w:tblPr>
        <w:tblStyle w:val="DefaultTable"/>
        <w:tblW w:w="0" w:type="auto"/>
        <w:tblBorders>
          <w:insideH w:val="single" w:sz="4" w:space="0" w:color="auto"/>
        </w:tblBorders>
        <w:tblLayout w:type="fixed"/>
        <w:tblLook w:val="0220" w:firstRow="1" w:lastRow="0" w:firstColumn="0" w:lastColumn="0" w:noHBand="1" w:noVBand="0"/>
        <w:tblDescription w:val="Statement of changes in equity for the year ended 30 June 2015"/>
      </w:tblPr>
      <w:tblGrid>
        <w:gridCol w:w="2977"/>
        <w:gridCol w:w="851"/>
        <w:gridCol w:w="992"/>
        <w:gridCol w:w="1157"/>
        <w:gridCol w:w="827"/>
        <w:gridCol w:w="993"/>
        <w:gridCol w:w="1180"/>
        <w:gridCol w:w="804"/>
        <w:gridCol w:w="992"/>
        <w:gridCol w:w="1204"/>
        <w:gridCol w:w="923"/>
        <w:gridCol w:w="992"/>
        <w:gridCol w:w="1086"/>
      </w:tblGrid>
      <w:tr w:rsidR="00683344" w:rsidRPr="00683344" w:rsidTr="00CA2E02">
        <w:trPr>
          <w:cnfStyle w:val="100000000000" w:firstRow="1" w:lastRow="0" w:firstColumn="0" w:lastColumn="0" w:oddVBand="0" w:evenVBand="0" w:oddHBand="0" w:evenHBand="0" w:firstRowFirstColumn="0" w:firstRowLastColumn="0" w:lastRowFirstColumn="0" w:lastRowLastColumn="0"/>
          <w:trHeight w:val="60"/>
        </w:trPr>
        <w:tc>
          <w:tcPr>
            <w:tcW w:w="2977" w:type="dxa"/>
            <w:vMerge w:val="restart"/>
          </w:tcPr>
          <w:p w:rsidR="00683344" w:rsidRPr="00683344" w:rsidRDefault="00683344" w:rsidP="0012427E">
            <w:pPr>
              <w:pStyle w:val="FinancialsTableText"/>
            </w:pPr>
          </w:p>
        </w:tc>
        <w:tc>
          <w:tcPr>
            <w:tcW w:w="3000" w:type="dxa"/>
            <w:gridSpan w:val="3"/>
          </w:tcPr>
          <w:p w:rsidR="00683344" w:rsidRPr="00683344" w:rsidRDefault="00683344" w:rsidP="0012427E">
            <w:pPr>
              <w:pStyle w:val="FinancialsTableText"/>
              <w:jc w:val="center"/>
              <w:rPr>
                <w:bCs/>
                <w:lang w:val="en-GB"/>
              </w:rPr>
            </w:pPr>
            <w:r w:rsidRPr="00683344">
              <w:rPr>
                <w:bCs/>
                <w:lang w:val="en-GB"/>
              </w:rPr>
              <w:t>Retained earnings</w:t>
            </w:r>
          </w:p>
        </w:tc>
        <w:tc>
          <w:tcPr>
            <w:tcW w:w="3000" w:type="dxa"/>
            <w:gridSpan w:val="3"/>
          </w:tcPr>
          <w:p w:rsidR="00683344" w:rsidRPr="00683344" w:rsidRDefault="00683344" w:rsidP="0012427E">
            <w:pPr>
              <w:pStyle w:val="FinancialsTableText"/>
              <w:jc w:val="center"/>
              <w:rPr>
                <w:bCs/>
                <w:lang w:val="en-GB"/>
              </w:rPr>
            </w:pPr>
            <w:r w:rsidRPr="00683344">
              <w:rPr>
                <w:bCs/>
                <w:lang w:val="en-GB"/>
              </w:rPr>
              <w:t>Asset revaluation surplus</w:t>
            </w:r>
          </w:p>
        </w:tc>
        <w:tc>
          <w:tcPr>
            <w:tcW w:w="3000" w:type="dxa"/>
            <w:gridSpan w:val="3"/>
          </w:tcPr>
          <w:p w:rsidR="00683344" w:rsidRPr="00683344" w:rsidRDefault="00683344" w:rsidP="0012427E">
            <w:pPr>
              <w:pStyle w:val="FinancialsTableText"/>
              <w:jc w:val="center"/>
              <w:rPr>
                <w:bCs/>
                <w:lang w:val="en-GB"/>
              </w:rPr>
            </w:pPr>
            <w:r w:rsidRPr="00683344">
              <w:rPr>
                <w:bCs/>
                <w:lang w:val="en-GB"/>
              </w:rPr>
              <w:t>Contributed equity/capital</w:t>
            </w:r>
          </w:p>
        </w:tc>
        <w:tc>
          <w:tcPr>
            <w:tcW w:w="3001" w:type="dxa"/>
            <w:gridSpan w:val="3"/>
          </w:tcPr>
          <w:p w:rsidR="00683344" w:rsidRPr="00683344" w:rsidRDefault="00683344" w:rsidP="0012427E">
            <w:pPr>
              <w:pStyle w:val="FinancialsTableText"/>
              <w:jc w:val="center"/>
              <w:rPr>
                <w:bCs/>
                <w:lang w:val="en-GB"/>
              </w:rPr>
            </w:pPr>
            <w:r w:rsidRPr="00683344">
              <w:rPr>
                <w:bCs/>
                <w:lang w:val="en-GB"/>
              </w:rPr>
              <w:t>Total equity</w:t>
            </w:r>
          </w:p>
        </w:tc>
      </w:tr>
      <w:tr w:rsidR="00910024" w:rsidRPr="00683344" w:rsidTr="00CA2E02">
        <w:trPr>
          <w:trHeight w:val="60"/>
        </w:trPr>
        <w:tc>
          <w:tcPr>
            <w:tcW w:w="2977" w:type="dxa"/>
            <w:vMerge/>
          </w:tcPr>
          <w:p w:rsidR="00910024" w:rsidRPr="00683344" w:rsidRDefault="00910024" w:rsidP="0012427E">
            <w:pPr>
              <w:pStyle w:val="FinancialsTableText"/>
            </w:pPr>
          </w:p>
        </w:tc>
        <w:tc>
          <w:tcPr>
            <w:tcW w:w="851" w:type="dxa"/>
            <w:vAlign w:val="bottom"/>
          </w:tcPr>
          <w:p w:rsidR="00910024" w:rsidRDefault="00910024" w:rsidP="0089616F">
            <w:pPr>
              <w:pStyle w:val="FinancialsTableText"/>
              <w:jc w:val="right"/>
              <w:rPr>
                <w:b/>
                <w:bCs/>
                <w:color w:val="008A00" w:themeColor="accent2"/>
                <w:lang w:val="en-GB"/>
              </w:rPr>
            </w:pPr>
            <w:r w:rsidRPr="0089616F">
              <w:rPr>
                <w:b/>
                <w:bCs/>
                <w:color w:val="008A00" w:themeColor="accent2"/>
                <w:lang w:val="en-GB"/>
              </w:rPr>
              <w:t>Actual</w:t>
            </w:r>
          </w:p>
          <w:p w:rsidR="00910024" w:rsidRPr="0089616F" w:rsidRDefault="00910024" w:rsidP="0089616F">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992" w:type="dxa"/>
            <w:vAlign w:val="bottom"/>
          </w:tcPr>
          <w:p w:rsidR="00910024" w:rsidRDefault="00910024" w:rsidP="0089616F">
            <w:pPr>
              <w:pStyle w:val="FinancialsTableText"/>
              <w:jc w:val="right"/>
              <w:rPr>
                <w:b/>
                <w:bCs/>
                <w:color w:val="008A00" w:themeColor="accent2"/>
                <w:lang w:val="en-GB"/>
              </w:rPr>
            </w:pPr>
            <w:r w:rsidRPr="0089616F">
              <w:rPr>
                <w:b/>
                <w:bCs/>
                <w:color w:val="008A00" w:themeColor="accent2"/>
                <w:lang w:val="en-GB"/>
              </w:rPr>
              <w:t>Budget estimate Original</w:t>
            </w:r>
          </w:p>
          <w:p w:rsidR="00910024" w:rsidRPr="0089616F" w:rsidRDefault="00910024" w:rsidP="0089616F">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1157" w:type="dxa"/>
            <w:vAlign w:val="bottom"/>
          </w:tcPr>
          <w:p w:rsidR="00910024" w:rsidRDefault="00910024" w:rsidP="0089616F">
            <w:pPr>
              <w:pStyle w:val="FinancialsTableText"/>
              <w:jc w:val="right"/>
              <w:rPr>
                <w:b/>
                <w:bCs/>
                <w:color w:val="008A00" w:themeColor="accent2"/>
                <w:lang w:val="en-GB"/>
              </w:rPr>
            </w:pPr>
            <w:r w:rsidRPr="0089616F">
              <w:rPr>
                <w:b/>
                <w:bCs/>
                <w:color w:val="008A00" w:themeColor="accent2"/>
                <w:lang w:val="en-GB"/>
              </w:rPr>
              <w:t>Budget estimate Variance</w:t>
            </w:r>
          </w:p>
          <w:p w:rsidR="00910024" w:rsidRPr="0089616F" w:rsidRDefault="00910024" w:rsidP="0089616F">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827"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Actual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993"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Original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1180"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Variance</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804"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Actual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992"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Original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1204"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Variance</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923"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Actual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992"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Original</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c>
          <w:tcPr>
            <w:tcW w:w="1086" w:type="dxa"/>
            <w:vAlign w:val="bottom"/>
          </w:tcPr>
          <w:p w:rsidR="00910024" w:rsidRDefault="00910024" w:rsidP="00391F86">
            <w:pPr>
              <w:pStyle w:val="FinancialsTableText"/>
              <w:jc w:val="right"/>
              <w:rPr>
                <w:b/>
                <w:bCs/>
                <w:color w:val="008A00" w:themeColor="accent2"/>
                <w:lang w:val="en-GB"/>
              </w:rPr>
            </w:pPr>
            <w:r w:rsidRPr="0089616F">
              <w:rPr>
                <w:b/>
                <w:bCs/>
                <w:color w:val="008A00" w:themeColor="accent2"/>
                <w:lang w:val="en-GB"/>
              </w:rPr>
              <w:t>Budget estimate Variance</w:t>
            </w:r>
          </w:p>
          <w:p w:rsidR="00910024" w:rsidRPr="0089616F" w:rsidRDefault="00910024" w:rsidP="00391F86">
            <w:pPr>
              <w:pStyle w:val="FinancialsTableText"/>
              <w:jc w:val="right"/>
              <w:rPr>
                <w:b/>
                <w:bCs/>
                <w:color w:val="008A00" w:themeColor="accent2"/>
                <w:lang w:val="en-GB"/>
              </w:rPr>
            </w:pPr>
            <w:r w:rsidRPr="0089616F">
              <w:rPr>
                <w:b/>
                <w:bCs/>
                <w:color w:val="008A00" w:themeColor="accent2"/>
                <w:lang w:val="en-GB"/>
              </w:rPr>
              <w:t>2015</w:t>
            </w:r>
            <w:r w:rsidRPr="0089616F">
              <w:rPr>
                <w:b/>
                <w:bCs/>
                <w:color w:val="008A00" w:themeColor="accent2"/>
                <w:lang w:val="en-GB"/>
              </w:rPr>
              <w:br/>
            </w:r>
            <w:r w:rsidRPr="0089616F">
              <w:rPr>
                <w:color w:val="008A00" w:themeColor="accent2"/>
                <w:lang w:val="en-GB"/>
              </w:rPr>
              <w:t>$’000</w:t>
            </w:r>
          </w:p>
        </w:tc>
      </w:tr>
      <w:tr w:rsidR="00683344" w:rsidRPr="00683344" w:rsidTr="00CA2E02">
        <w:trPr>
          <w:trHeight w:val="60"/>
        </w:trPr>
        <w:tc>
          <w:tcPr>
            <w:tcW w:w="14978" w:type="dxa"/>
            <w:gridSpan w:val="13"/>
          </w:tcPr>
          <w:p w:rsidR="00683344" w:rsidRPr="00683344" w:rsidRDefault="00683344" w:rsidP="00910024">
            <w:pPr>
              <w:pStyle w:val="FinancialsTableH2"/>
              <w:rPr>
                <w:lang w:val="en-GB"/>
              </w:rPr>
            </w:pPr>
            <w:r w:rsidRPr="00683344">
              <w:rPr>
                <w:lang w:val="en-GB"/>
              </w:rPr>
              <w:t>Opening balance</w:t>
            </w:r>
          </w:p>
        </w:tc>
      </w:tr>
      <w:tr w:rsidR="00910024"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Balance carried forward from previous period</w:t>
            </w:r>
          </w:p>
        </w:tc>
        <w:tc>
          <w:tcPr>
            <w:tcW w:w="851" w:type="dxa"/>
            <w:vAlign w:val="bottom"/>
          </w:tcPr>
          <w:p w:rsidR="00683344" w:rsidRPr="00683344" w:rsidRDefault="00683344" w:rsidP="00E56D9D">
            <w:pPr>
              <w:pStyle w:val="FinancialsTableText"/>
              <w:jc w:val="right"/>
              <w:rPr>
                <w:lang w:val="en-GB"/>
              </w:rPr>
            </w:pPr>
            <w:r w:rsidRPr="00683344">
              <w:rPr>
                <w:lang w:val="en-GB"/>
              </w:rPr>
              <w:t xml:space="preserve"> 19,102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17,325 </w:t>
            </w:r>
          </w:p>
        </w:tc>
        <w:tc>
          <w:tcPr>
            <w:tcW w:w="1157" w:type="dxa"/>
            <w:vAlign w:val="bottom"/>
          </w:tcPr>
          <w:p w:rsidR="00683344" w:rsidRPr="00683344" w:rsidRDefault="00683344" w:rsidP="00E56D9D">
            <w:pPr>
              <w:pStyle w:val="FinancialsTableText"/>
              <w:jc w:val="right"/>
              <w:rPr>
                <w:lang w:val="en-GB"/>
              </w:rPr>
            </w:pPr>
            <w:r w:rsidRPr="00683344">
              <w:rPr>
                <w:lang w:val="en-GB"/>
              </w:rPr>
              <w:t xml:space="preserve"> 1,777 </w:t>
            </w:r>
          </w:p>
        </w:tc>
        <w:tc>
          <w:tcPr>
            <w:tcW w:w="827" w:type="dxa"/>
            <w:vAlign w:val="bottom"/>
          </w:tcPr>
          <w:p w:rsidR="00683344" w:rsidRPr="00683344" w:rsidRDefault="00683344" w:rsidP="00E56D9D">
            <w:pPr>
              <w:pStyle w:val="FinancialsTableText"/>
              <w:jc w:val="right"/>
              <w:rPr>
                <w:lang w:val="en-GB"/>
              </w:rPr>
            </w:pPr>
            <w:r w:rsidRPr="00683344">
              <w:rPr>
                <w:lang w:val="en-GB"/>
              </w:rPr>
              <w:t xml:space="preserve"> 16 </w:t>
            </w:r>
          </w:p>
        </w:tc>
        <w:tc>
          <w:tcPr>
            <w:tcW w:w="993"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180" w:type="dxa"/>
            <w:vAlign w:val="bottom"/>
          </w:tcPr>
          <w:p w:rsidR="00683344" w:rsidRPr="00683344" w:rsidRDefault="00683344" w:rsidP="00E56D9D">
            <w:pPr>
              <w:pStyle w:val="FinancialsTableText"/>
              <w:jc w:val="right"/>
              <w:rPr>
                <w:lang w:val="en-GB"/>
              </w:rPr>
            </w:pPr>
            <w:r w:rsidRPr="00683344">
              <w:rPr>
                <w:lang w:val="en-GB"/>
              </w:rPr>
              <w:t xml:space="preserve"> 16 </w:t>
            </w:r>
          </w:p>
        </w:tc>
        <w:tc>
          <w:tcPr>
            <w:tcW w:w="804" w:type="dxa"/>
            <w:vAlign w:val="bottom"/>
          </w:tcPr>
          <w:p w:rsidR="00683344" w:rsidRPr="00683344" w:rsidRDefault="00683344" w:rsidP="00E56D9D">
            <w:pPr>
              <w:pStyle w:val="FinancialsTableText"/>
              <w:jc w:val="right"/>
              <w:rPr>
                <w:lang w:val="en-GB"/>
              </w:rPr>
            </w:pPr>
            <w:r w:rsidRPr="00683344">
              <w:rPr>
                <w:lang w:val="en-GB"/>
              </w:rPr>
              <w:t xml:space="preserve"> 400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400 </w:t>
            </w:r>
          </w:p>
        </w:tc>
        <w:tc>
          <w:tcPr>
            <w:tcW w:w="1204"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23" w:type="dxa"/>
            <w:vAlign w:val="bottom"/>
          </w:tcPr>
          <w:p w:rsidR="00683344" w:rsidRPr="00683344" w:rsidRDefault="00683344" w:rsidP="00E56D9D">
            <w:pPr>
              <w:pStyle w:val="FinancialsTableText"/>
              <w:jc w:val="right"/>
              <w:rPr>
                <w:lang w:val="en-GB"/>
              </w:rPr>
            </w:pPr>
            <w:r w:rsidRPr="00683344">
              <w:rPr>
                <w:lang w:val="en-GB"/>
              </w:rPr>
              <w:t xml:space="preserve"> 19,518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17,725 </w:t>
            </w:r>
          </w:p>
        </w:tc>
        <w:tc>
          <w:tcPr>
            <w:tcW w:w="1086" w:type="dxa"/>
            <w:vAlign w:val="bottom"/>
          </w:tcPr>
          <w:p w:rsidR="00683344" w:rsidRPr="00683344" w:rsidRDefault="00683344" w:rsidP="00E56D9D">
            <w:pPr>
              <w:pStyle w:val="FinancialsTableText"/>
              <w:jc w:val="right"/>
              <w:rPr>
                <w:lang w:val="en-GB"/>
              </w:rPr>
            </w:pPr>
            <w:r w:rsidRPr="00683344">
              <w:rPr>
                <w:lang w:val="en-GB"/>
              </w:rPr>
              <w:t xml:space="preserve"> 1,793 </w:t>
            </w:r>
          </w:p>
        </w:tc>
      </w:tr>
      <w:tr w:rsidR="00E56D9D" w:rsidRPr="00683344" w:rsidTr="00E56D9D">
        <w:trPr>
          <w:trHeight w:val="60"/>
        </w:trPr>
        <w:tc>
          <w:tcPr>
            <w:tcW w:w="2977" w:type="dxa"/>
          </w:tcPr>
          <w:p w:rsidR="00683344" w:rsidRPr="00683344" w:rsidRDefault="00683344" w:rsidP="0012427E">
            <w:pPr>
              <w:pStyle w:val="FinancialsTableText"/>
              <w:rPr>
                <w:b/>
                <w:bCs/>
                <w:lang w:val="en-GB"/>
              </w:rPr>
            </w:pPr>
            <w:r w:rsidRPr="00683344">
              <w:rPr>
                <w:b/>
                <w:bCs/>
                <w:lang w:val="en-GB"/>
              </w:rPr>
              <w:t>Adjusted opening balance</w:t>
            </w:r>
          </w:p>
        </w:tc>
        <w:tc>
          <w:tcPr>
            <w:tcW w:w="851" w:type="dxa"/>
          </w:tcPr>
          <w:p w:rsidR="00683344" w:rsidRPr="00683344" w:rsidRDefault="00683344" w:rsidP="00910024">
            <w:pPr>
              <w:pStyle w:val="FinancialsTableText"/>
              <w:jc w:val="right"/>
              <w:rPr>
                <w:b/>
                <w:bCs/>
                <w:lang w:val="en-GB"/>
              </w:rPr>
            </w:pPr>
            <w:r w:rsidRPr="00683344">
              <w:rPr>
                <w:b/>
                <w:bCs/>
                <w:lang w:val="en-GB"/>
              </w:rPr>
              <w:t xml:space="preserve"> 19,102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17,325 </w:t>
            </w:r>
          </w:p>
        </w:tc>
        <w:tc>
          <w:tcPr>
            <w:tcW w:w="1157" w:type="dxa"/>
          </w:tcPr>
          <w:p w:rsidR="00683344" w:rsidRPr="00683344" w:rsidRDefault="00683344" w:rsidP="00910024">
            <w:pPr>
              <w:pStyle w:val="FinancialsTableText"/>
              <w:jc w:val="right"/>
              <w:rPr>
                <w:b/>
                <w:bCs/>
                <w:lang w:val="en-GB"/>
              </w:rPr>
            </w:pPr>
            <w:r w:rsidRPr="00683344">
              <w:rPr>
                <w:b/>
                <w:bCs/>
                <w:lang w:val="en-GB"/>
              </w:rPr>
              <w:t xml:space="preserve"> 1,777 </w:t>
            </w:r>
          </w:p>
        </w:tc>
        <w:tc>
          <w:tcPr>
            <w:tcW w:w="827" w:type="dxa"/>
          </w:tcPr>
          <w:p w:rsidR="00683344" w:rsidRPr="00683344" w:rsidRDefault="00683344" w:rsidP="00910024">
            <w:pPr>
              <w:pStyle w:val="FinancialsTableText"/>
              <w:jc w:val="right"/>
              <w:rPr>
                <w:b/>
                <w:bCs/>
                <w:lang w:val="en-GB"/>
              </w:rPr>
            </w:pPr>
            <w:r w:rsidRPr="00683344">
              <w:rPr>
                <w:b/>
                <w:bCs/>
                <w:lang w:val="en-GB"/>
              </w:rPr>
              <w:t xml:space="preserve"> 16 </w:t>
            </w:r>
          </w:p>
        </w:tc>
        <w:tc>
          <w:tcPr>
            <w:tcW w:w="993"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1180" w:type="dxa"/>
          </w:tcPr>
          <w:p w:rsidR="00683344" w:rsidRPr="00683344" w:rsidRDefault="00683344" w:rsidP="00910024">
            <w:pPr>
              <w:pStyle w:val="FinancialsTableText"/>
              <w:jc w:val="right"/>
              <w:rPr>
                <w:b/>
                <w:bCs/>
                <w:lang w:val="en-GB"/>
              </w:rPr>
            </w:pPr>
            <w:r w:rsidRPr="00683344">
              <w:rPr>
                <w:b/>
                <w:bCs/>
                <w:lang w:val="en-GB"/>
              </w:rPr>
              <w:t xml:space="preserve"> 16 </w:t>
            </w:r>
          </w:p>
        </w:tc>
        <w:tc>
          <w:tcPr>
            <w:tcW w:w="804" w:type="dxa"/>
          </w:tcPr>
          <w:p w:rsidR="00683344" w:rsidRPr="00683344" w:rsidRDefault="00683344" w:rsidP="00910024">
            <w:pPr>
              <w:pStyle w:val="FinancialsTableText"/>
              <w:jc w:val="right"/>
              <w:rPr>
                <w:b/>
                <w:bCs/>
                <w:lang w:val="en-GB"/>
              </w:rPr>
            </w:pPr>
            <w:r w:rsidRPr="00683344">
              <w:rPr>
                <w:b/>
                <w:bCs/>
                <w:lang w:val="en-GB"/>
              </w:rPr>
              <w:t xml:space="preserve"> 400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400 </w:t>
            </w:r>
          </w:p>
        </w:tc>
        <w:tc>
          <w:tcPr>
            <w:tcW w:w="1204"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923" w:type="dxa"/>
          </w:tcPr>
          <w:p w:rsidR="00683344" w:rsidRPr="00683344" w:rsidRDefault="00683344" w:rsidP="00910024">
            <w:pPr>
              <w:pStyle w:val="FinancialsTableText"/>
              <w:jc w:val="right"/>
              <w:rPr>
                <w:b/>
                <w:bCs/>
                <w:lang w:val="en-GB"/>
              </w:rPr>
            </w:pPr>
            <w:r w:rsidRPr="00683344">
              <w:rPr>
                <w:b/>
                <w:bCs/>
                <w:lang w:val="en-GB"/>
              </w:rPr>
              <w:t xml:space="preserve"> 19,518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17,725 </w:t>
            </w:r>
          </w:p>
        </w:tc>
        <w:tc>
          <w:tcPr>
            <w:tcW w:w="1086" w:type="dxa"/>
          </w:tcPr>
          <w:p w:rsidR="00683344" w:rsidRPr="00683344" w:rsidRDefault="00683344" w:rsidP="00910024">
            <w:pPr>
              <w:pStyle w:val="FinancialsTableText"/>
              <w:jc w:val="right"/>
              <w:rPr>
                <w:b/>
                <w:bCs/>
                <w:lang w:val="en-GB"/>
              </w:rPr>
            </w:pPr>
            <w:r w:rsidRPr="00683344">
              <w:rPr>
                <w:b/>
                <w:bCs/>
                <w:lang w:val="en-GB"/>
              </w:rPr>
              <w:t xml:space="preserve"> 1,793 </w:t>
            </w:r>
          </w:p>
        </w:tc>
      </w:tr>
      <w:tr w:rsidR="00910024" w:rsidRPr="00683344" w:rsidTr="00E56D9D">
        <w:trPr>
          <w:trHeight w:val="60"/>
        </w:trPr>
        <w:tc>
          <w:tcPr>
            <w:tcW w:w="2977" w:type="dxa"/>
          </w:tcPr>
          <w:p w:rsidR="00683344" w:rsidRPr="00683344" w:rsidRDefault="00683344" w:rsidP="00FC1EF2">
            <w:pPr>
              <w:pStyle w:val="FinancialsTableH2"/>
              <w:rPr>
                <w:lang w:val="en-GB"/>
              </w:rPr>
            </w:pPr>
            <w:r w:rsidRPr="00683344">
              <w:rPr>
                <w:lang w:val="en-GB"/>
              </w:rPr>
              <w:t>Comprehensive income</w:t>
            </w:r>
          </w:p>
        </w:tc>
        <w:tc>
          <w:tcPr>
            <w:tcW w:w="851"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157" w:type="dxa"/>
          </w:tcPr>
          <w:p w:rsidR="00683344" w:rsidRPr="00683344" w:rsidRDefault="00683344" w:rsidP="00910024">
            <w:pPr>
              <w:pStyle w:val="FinancialsTableText"/>
              <w:jc w:val="right"/>
            </w:pPr>
          </w:p>
        </w:tc>
        <w:tc>
          <w:tcPr>
            <w:tcW w:w="827" w:type="dxa"/>
          </w:tcPr>
          <w:p w:rsidR="00683344" w:rsidRPr="00683344" w:rsidRDefault="00683344" w:rsidP="00910024">
            <w:pPr>
              <w:pStyle w:val="FinancialsTableText"/>
              <w:jc w:val="right"/>
            </w:pPr>
          </w:p>
        </w:tc>
        <w:tc>
          <w:tcPr>
            <w:tcW w:w="993" w:type="dxa"/>
          </w:tcPr>
          <w:p w:rsidR="00683344" w:rsidRPr="00683344" w:rsidRDefault="00683344" w:rsidP="00910024">
            <w:pPr>
              <w:pStyle w:val="FinancialsTableText"/>
              <w:jc w:val="right"/>
            </w:pPr>
          </w:p>
        </w:tc>
        <w:tc>
          <w:tcPr>
            <w:tcW w:w="1180" w:type="dxa"/>
          </w:tcPr>
          <w:p w:rsidR="00683344" w:rsidRPr="00683344" w:rsidRDefault="00683344" w:rsidP="00910024">
            <w:pPr>
              <w:pStyle w:val="FinancialsTableText"/>
              <w:jc w:val="right"/>
            </w:pPr>
          </w:p>
        </w:tc>
        <w:tc>
          <w:tcPr>
            <w:tcW w:w="804"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204" w:type="dxa"/>
          </w:tcPr>
          <w:p w:rsidR="00683344" w:rsidRPr="00683344" w:rsidRDefault="00683344" w:rsidP="00910024">
            <w:pPr>
              <w:pStyle w:val="FinancialsTableText"/>
              <w:jc w:val="right"/>
            </w:pPr>
          </w:p>
        </w:tc>
        <w:tc>
          <w:tcPr>
            <w:tcW w:w="923"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086" w:type="dxa"/>
          </w:tcPr>
          <w:p w:rsidR="00683344" w:rsidRPr="00683344" w:rsidRDefault="00683344" w:rsidP="00910024">
            <w:pPr>
              <w:pStyle w:val="FinancialsTableText"/>
              <w:jc w:val="right"/>
            </w:pPr>
          </w:p>
        </w:tc>
      </w:tr>
      <w:tr w:rsidR="00E56D9D"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Surplus for the period</w:t>
            </w:r>
          </w:p>
        </w:tc>
        <w:tc>
          <w:tcPr>
            <w:tcW w:w="851" w:type="dxa"/>
          </w:tcPr>
          <w:p w:rsidR="00683344" w:rsidRPr="00683344" w:rsidRDefault="00683344" w:rsidP="00910024">
            <w:pPr>
              <w:pStyle w:val="FinancialsTableText"/>
              <w:jc w:val="right"/>
              <w:rPr>
                <w:lang w:val="en-GB"/>
              </w:rPr>
            </w:pPr>
            <w:r w:rsidRPr="00683344">
              <w:rPr>
                <w:lang w:val="en-GB"/>
              </w:rPr>
              <w:t xml:space="preserve"> 3,746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157" w:type="dxa"/>
          </w:tcPr>
          <w:p w:rsidR="00683344" w:rsidRPr="00683344" w:rsidRDefault="00683344" w:rsidP="00910024">
            <w:pPr>
              <w:pStyle w:val="FinancialsTableText"/>
              <w:jc w:val="right"/>
              <w:rPr>
                <w:lang w:val="en-GB"/>
              </w:rPr>
            </w:pPr>
            <w:r w:rsidRPr="00683344">
              <w:rPr>
                <w:lang w:val="en-GB"/>
              </w:rPr>
              <w:t xml:space="preserve"> 3,746 </w:t>
            </w:r>
          </w:p>
        </w:tc>
        <w:tc>
          <w:tcPr>
            <w:tcW w:w="827" w:type="dxa"/>
          </w:tcPr>
          <w:p w:rsidR="00683344" w:rsidRPr="00683344" w:rsidRDefault="00683344" w:rsidP="00910024">
            <w:pPr>
              <w:pStyle w:val="FinancialsTableText"/>
              <w:jc w:val="right"/>
              <w:rPr>
                <w:lang w:val="en-GB"/>
              </w:rPr>
            </w:pPr>
            <w:r w:rsidRPr="00683344">
              <w:rPr>
                <w:lang w:val="en-GB"/>
              </w:rPr>
              <w:t xml:space="preserve"> – </w:t>
            </w:r>
          </w:p>
        </w:tc>
        <w:tc>
          <w:tcPr>
            <w:tcW w:w="993" w:type="dxa"/>
          </w:tcPr>
          <w:p w:rsidR="00683344" w:rsidRPr="00683344" w:rsidRDefault="00683344" w:rsidP="00910024">
            <w:pPr>
              <w:pStyle w:val="FinancialsTableText"/>
              <w:jc w:val="right"/>
              <w:rPr>
                <w:lang w:val="en-GB"/>
              </w:rPr>
            </w:pPr>
            <w:r w:rsidRPr="00683344">
              <w:rPr>
                <w:lang w:val="en-GB"/>
              </w:rPr>
              <w:t xml:space="preserve"> – </w:t>
            </w:r>
          </w:p>
        </w:tc>
        <w:tc>
          <w:tcPr>
            <w:tcW w:w="1180" w:type="dxa"/>
          </w:tcPr>
          <w:p w:rsidR="00683344" w:rsidRPr="00683344" w:rsidRDefault="00683344" w:rsidP="00910024">
            <w:pPr>
              <w:pStyle w:val="FinancialsTableText"/>
              <w:jc w:val="right"/>
              <w:rPr>
                <w:lang w:val="en-GB"/>
              </w:rPr>
            </w:pPr>
            <w:r w:rsidRPr="00683344">
              <w:rPr>
                <w:lang w:val="en-GB"/>
              </w:rPr>
              <w:t xml:space="preserve"> – </w:t>
            </w:r>
          </w:p>
        </w:tc>
        <w:tc>
          <w:tcPr>
            <w:tcW w:w="804"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204" w:type="dxa"/>
          </w:tcPr>
          <w:p w:rsidR="00683344" w:rsidRPr="00683344" w:rsidRDefault="00683344" w:rsidP="00910024">
            <w:pPr>
              <w:pStyle w:val="FinancialsTableText"/>
              <w:jc w:val="right"/>
              <w:rPr>
                <w:lang w:val="en-GB"/>
              </w:rPr>
            </w:pPr>
            <w:r w:rsidRPr="00683344">
              <w:rPr>
                <w:lang w:val="en-GB"/>
              </w:rPr>
              <w:t xml:space="preserve"> – </w:t>
            </w:r>
          </w:p>
        </w:tc>
        <w:tc>
          <w:tcPr>
            <w:tcW w:w="923" w:type="dxa"/>
          </w:tcPr>
          <w:p w:rsidR="00683344" w:rsidRPr="00683344" w:rsidRDefault="00683344" w:rsidP="00910024">
            <w:pPr>
              <w:pStyle w:val="FinancialsTableText"/>
              <w:jc w:val="right"/>
              <w:rPr>
                <w:lang w:val="en-GB"/>
              </w:rPr>
            </w:pPr>
            <w:r w:rsidRPr="00683344">
              <w:rPr>
                <w:lang w:val="en-GB"/>
              </w:rPr>
              <w:t xml:space="preserve"> 3,746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086" w:type="dxa"/>
          </w:tcPr>
          <w:p w:rsidR="00683344" w:rsidRPr="00683344" w:rsidRDefault="00683344" w:rsidP="00910024">
            <w:pPr>
              <w:pStyle w:val="FinancialsTableText"/>
              <w:jc w:val="right"/>
              <w:rPr>
                <w:lang w:val="en-GB"/>
              </w:rPr>
            </w:pPr>
            <w:r w:rsidRPr="00683344">
              <w:rPr>
                <w:lang w:val="en-GB"/>
              </w:rPr>
              <w:t xml:space="preserve"> 3,746 </w:t>
            </w:r>
          </w:p>
        </w:tc>
      </w:tr>
      <w:tr w:rsidR="00910024"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Other comprehensive income</w:t>
            </w:r>
          </w:p>
        </w:tc>
        <w:tc>
          <w:tcPr>
            <w:tcW w:w="851"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157" w:type="dxa"/>
          </w:tcPr>
          <w:p w:rsidR="00683344" w:rsidRPr="00683344" w:rsidRDefault="00683344" w:rsidP="00910024">
            <w:pPr>
              <w:pStyle w:val="FinancialsTableText"/>
              <w:jc w:val="right"/>
              <w:rPr>
                <w:lang w:val="en-GB"/>
              </w:rPr>
            </w:pPr>
            <w:r w:rsidRPr="00683344">
              <w:rPr>
                <w:lang w:val="en-GB"/>
              </w:rPr>
              <w:t xml:space="preserve"> – </w:t>
            </w:r>
          </w:p>
        </w:tc>
        <w:tc>
          <w:tcPr>
            <w:tcW w:w="827" w:type="dxa"/>
          </w:tcPr>
          <w:p w:rsidR="00683344" w:rsidRPr="00683344" w:rsidRDefault="00683344" w:rsidP="00910024">
            <w:pPr>
              <w:pStyle w:val="FinancialsTableText"/>
              <w:jc w:val="right"/>
              <w:rPr>
                <w:lang w:val="en-GB"/>
              </w:rPr>
            </w:pPr>
            <w:r w:rsidRPr="00683344">
              <w:rPr>
                <w:lang w:val="en-GB"/>
              </w:rPr>
              <w:t xml:space="preserve"> – </w:t>
            </w:r>
          </w:p>
        </w:tc>
        <w:tc>
          <w:tcPr>
            <w:tcW w:w="993" w:type="dxa"/>
          </w:tcPr>
          <w:p w:rsidR="00683344" w:rsidRPr="00683344" w:rsidRDefault="00683344" w:rsidP="00910024">
            <w:pPr>
              <w:pStyle w:val="FinancialsTableText"/>
              <w:jc w:val="right"/>
              <w:rPr>
                <w:lang w:val="en-GB"/>
              </w:rPr>
            </w:pPr>
            <w:r w:rsidRPr="00683344">
              <w:rPr>
                <w:lang w:val="en-GB"/>
              </w:rPr>
              <w:t xml:space="preserve"> – </w:t>
            </w:r>
          </w:p>
        </w:tc>
        <w:tc>
          <w:tcPr>
            <w:tcW w:w="1180" w:type="dxa"/>
          </w:tcPr>
          <w:p w:rsidR="00683344" w:rsidRPr="00683344" w:rsidRDefault="00683344" w:rsidP="00910024">
            <w:pPr>
              <w:pStyle w:val="FinancialsTableText"/>
              <w:jc w:val="right"/>
              <w:rPr>
                <w:lang w:val="en-GB"/>
              </w:rPr>
            </w:pPr>
            <w:r w:rsidRPr="00683344">
              <w:rPr>
                <w:lang w:val="en-GB"/>
              </w:rPr>
              <w:t xml:space="preserve"> – </w:t>
            </w:r>
          </w:p>
        </w:tc>
        <w:tc>
          <w:tcPr>
            <w:tcW w:w="804"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204" w:type="dxa"/>
          </w:tcPr>
          <w:p w:rsidR="00683344" w:rsidRPr="00683344" w:rsidRDefault="00683344" w:rsidP="00910024">
            <w:pPr>
              <w:pStyle w:val="FinancialsTableText"/>
              <w:jc w:val="right"/>
              <w:rPr>
                <w:lang w:val="en-GB"/>
              </w:rPr>
            </w:pPr>
            <w:r w:rsidRPr="00683344">
              <w:rPr>
                <w:lang w:val="en-GB"/>
              </w:rPr>
              <w:t xml:space="preserve"> – </w:t>
            </w:r>
          </w:p>
        </w:tc>
        <w:tc>
          <w:tcPr>
            <w:tcW w:w="923"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086" w:type="dxa"/>
          </w:tcPr>
          <w:p w:rsidR="00683344" w:rsidRPr="00683344" w:rsidRDefault="00683344" w:rsidP="00910024">
            <w:pPr>
              <w:pStyle w:val="FinancialsTableText"/>
              <w:jc w:val="right"/>
              <w:rPr>
                <w:lang w:val="en-GB"/>
              </w:rPr>
            </w:pPr>
            <w:r w:rsidRPr="00683344">
              <w:rPr>
                <w:lang w:val="en-GB"/>
              </w:rPr>
              <w:t xml:space="preserve"> – </w:t>
            </w:r>
          </w:p>
        </w:tc>
      </w:tr>
      <w:tr w:rsidR="00E56D9D" w:rsidRPr="00683344" w:rsidTr="00E56D9D">
        <w:trPr>
          <w:trHeight w:val="60"/>
        </w:trPr>
        <w:tc>
          <w:tcPr>
            <w:tcW w:w="2977" w:type="dxa"/>
          </w:tcPr>
          <w:p w:rsidR="00683344" w:rsidRPr="00683344" w:rsidRDefault="00683344" w:rsidP="0012427E">
            <w:pPr>
              <w:pStyle w:val="FinancialsTableText"/>
              <w:rPr>
                <w:b/>
                <w:bCs/>
                <w:lang w:val="en-GB"/>
              </w:rPr>
            </w:pPr>
            <w:r w:rsidRPr="00683344">
              <w:rPr>
                <w:b/>
                <w:bCs/>
                <w:lang w:val="en-GB"/>
              </w:rPr>
              <w:t>Total comprehensive income</w:t>
            </w:r>
          </w:p>
        </w:tc>
        <w:tc>
          <w:tcPr>
            <w:tcW w:w="851" w:type="dxa"/>
          </w:tcPr>
          <w:p w:rsidR="00683344" w:rsidRPr="00683344" w:rsidRDefault="00683344" w:rsidP="00910024">
            <w:pPr>
              <w:pStyle w:val="FinancialsTableText"/>
              <w:jc w:val="right"/>
              <w:rPr>
                <w:b/>
                <w:bCs/>
                <w:lang w:val="en-GB"/>
              </w:rPr>
            </w:pPr>
            <w:r w:rsidRPr="00683344">
              <w:rPr>
                <w:b/>
                <w:bCs/>
                <w:lang w:val="en-GB"/>
              </w:rPr>
              <w:t xml:space="preserve"> 3,746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1157" w:type="dxa"/>
          </w:tcPr>
          <w:p w:rsidR="00683344" w:rsidRPr="00683344" w:rsidRDefault="00683344" w:rsidP="00910024">
            <w:pPr>
              <w:pStyle w:val="FinancialsTableText"/>
              <w:jc w:val="right"/>
              <w:rPr>
                <w:b/>
                <w:bCs/>
                <w:lang w:val="en-GB"/>
              </w:rPr>
            </w:pPr>
            <w:r w:rsidRPr="00683344">
              <w:rPr>
                <w:b/>
                <w:bCs/>
                <w:lang w:val="en-GB"/>
              </w:rPr>
              <w:t xml:space="preserve"> 3,746 </w:t>
            </w:r>
          </w:p>
        </w:tc>
        <w:tc>
          <w:tcPr>
            <w:tcW w:w="827"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993"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1180"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804"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1204"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923" w:type="dxa"/>
          </w:tcPr>
          <w:p w:rsidR="00683344" w:rsidRPr="00683344" w:rsidRDefault="00683344" w:rsidP="00910024">
            <w:pPr>
              <w:pStyle w:val="FinancialsTableText"/>
              <w:jc w:val="right"/>
              <w:rPr>
                <w:b/>
                <w:bCs/>
                <w:lang w:val="en-GB"/>
              </w:rPr>
            </w:pPr>
            <w:r w:rsidRPr="00683344">
              <w:rPr>
                <w:b/>
                <w:bCs/>
                <w:lang w:val="en-GB"/>
              </w:rPr>
              <w:t xml:space="preserve"> 3,746 </w:t>
            </w:r>
          </w:p>
        </w:tc>
        <w:tc>
          <w:tcPr>
            <w:tcW w:w="992" w:type="dxa"/>
          </w:tcPr>
          <w:p w:rsidR="00683344" w:rsidRPr="00683344" w:rsidRDefault="00683344" w:rsidP="00910024">
            <w:pPr>
              <w:pStyle w:val="FinancialsTableText"/>
              <w:jc w:val="right"/>
              <w:rPr>
                <w:b/>
                <w:bCs/>
                <w:lang w:val="en-GB"/>
              </w:rPr>
            </w:pPr>
            <w:r w:rsidRPr="00683344">
              <w:rPr>
                <w:b/>
                <w:bCs/>
                <w:lang w:val="en-GB"/>
              </w:rPr>
              <w:t xml:space="preserve"> – </w:t>
            </w:r>
          </w:p>
        </w:tc>
        <w:tc>
          <w:tcPr>
            <w:tcW w:w="1086" w:type="dxa"/>
          </w:tcPr>
          <w:p w:rsidR="00683344" w:rsidRPr="00683344" w:rsidRDefault="00683344" w:rsidP="00910024">
            <w:pPr>
              <w:pStyle w:val="FinancialsTableText"/>
              <w:jc w:val="right"/>
              <w:rPr>
                <w:b/>
                <w:bCs/>
                <w:lang w:val="en-GB"/>
              </w:rPr>
            </w:pPr>
            <w:r w:rsidRPr="00683344">
              <w:rPr>
                <w:b/>
                <w:bCs/>
                <w:lang w:val="en-GB"/>
              </w:rPr>
              <w:t xml:space="preserve"> 3,746 </w:t>
            </w:r>
          </w:p>
        </w:tc>
      </w:tr>
      <w:tr w:rsidR="00910024" w:rsidRPr="00683344" w:rsidTr="00E56D9D">
        <w:trPr>
          <w:trHeight w:val="60"/>
        </w:trPr>
        <w:tc>
          <w:tcPr>
            <w:tcW w:w="2977" w:type="dxa"/>
          </w:tcPr>
          <w:p w:rsidR="00683344" w:rsidRPr="00683344" w:rsidRDefault="00683344" w:rsidP="00FC1EF2">
            <w:pPr>
              <w:pStyle w:val="FinancialsTableH2"/>
              <w:rPr>
                <w:lang w:val="en-GB"/>
              </w:rPr>
            </w:pPr>
            <w:r w:rsidRPr="00683344">
              <w:rPr>
                <w:lang w:val="en-GB"/>
              </w:rPr>
              <w:t>Transactions with owners</w:t>
            </w:r>
          </w:p>
        </w:tc>
        <w:tc>
          <w:tcPr>
            <w:tcW w:w="851"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157" w:type="dxa"/>
          </w:tcPr>
          <w:p w:rsidR="00683344" w:rsidRPr="00683344" w:rsidRDefault="00683344" w:rsidP="00910024">
            <w:pPr>
              <w:pStyle w:val="FinancialsTableText"/>
              <w:jc w:val="right"/>
            </w:pPr>
          </w:p>
        </w:tc>
        <w:tc>
          <w:tcPr>
            <w:tcW w:w="827" w:type="dxa"/>
          </w:tcPr>
          <w:p w:rsidR="00683344" w:rsidRPr="00683344" w:rsidRDefault="00683344" w:rsidP="00910024">
            <w:pPr>
              <w:pStyle w:val="FinancialsTableText"/>
              <w:jc w:val="right"/>
            </w:pPr>
          </w:p>
        </w:tc>
        <w:tc>
          <w:tcPr>
            <w:tcW w:w="993" w:type="dxa"/>
          </w:tcPr>
          <w:p w:rsidR="00683344" w:rsidRPr="00683344" w:rsidRDefault="00683344" w:rsidP="00910024">
            <w:pPr>
              <w:pStyle w:val="FinancialsTableText"/>
              <w:jc w:val="right"/>
            </w:pPr>
          </w:p>
        </w:tc>
        <w:tc>
          <w:tcPr>
            <w:tcW w:w="1180" w:type="dxa"/>
          </w:tcPr>
          <w:p w:rsidR="00683344" w:rsidRPr="00683344" w:rsidRDefault="00683344" w:rsidP="00910024">
            <w:pPr>
              <w:pStyle w:val="FinancialsTableText"/>
              <w:jc w:val="right"/>
            </w:pPr>
          </w:p>
        </w:tc>
        <w:tc>
          <w:tcPr>
            <w:tcW w:w="804"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204" w:type="dxa"/>
          </w:tcPr>
          <w:p w:rsidR="00683344" w:rsidRPr="00683344" w:rsidRDefault="00683344" w:rsidP="00910024">
            <w:pPr>
              <w:pStyle w:val="FinancialsTableText"/>
              <w:jc w:val="right"/>
            </w:pPr>
          </w:p>
        </w:tc>
        <w:tc>
          <w:tcPr>
            <w:tcW w:w="923"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086" w:type="dxa"/>
          </w:tcPr>
          <w:p w:rsidR="00683344" w:rsidRPr="00683344" w:rsidRDefault="00683344" w:rsidP="00910024">
            <w:pPr>
              <w:pStyle w:val="FinancialsTableText"/>
              <w:jc w:val="right"/>
            </w:pPr>
          </w:p>
        </w:tc>
      </w:tr>
      <w:tr w:rsidR="00E56D9D"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Extinguishment of Appropriations</w:t>
            </w:r>
          </w:p>
        </w:tc>
        <w:tc>
          <w:tcPr>
            <w:tcW w:w="851" w:type="dxa"/>
            <w:vAlign w:val="bottom"/>
          </w:tcPr>
          <w:p w:rsidR="00683344" w:rsidRPr="00683344" w:rsidRDefault="00683344" w:rsidP="00E56D9D">
            <w:pPr>
              <w:pStyle w:val="FinancialsTableText"/>
              <w:jc w:val="right"/>
              <w:rPr>
                <w:lang w:val="en-GB"/>
              </w:rPr>
            </w:pPr>
            <w:r w:rsidRPr="00683344">
              <w:rPr>
                <w:lang w:val="en-GB"/>
              </w:rPr>
              <w:t xml:space="preserve"> (3,651)</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157" w:type="dxa"/>
            <w:vAlign w:val="bottom"/>
          </w:tcPr>
          <w:p w:rsidR="00683344" w:rsidRPr="00683344" w:rsidRDefault="00683344" w:rsidP="00E56D9D">
            <w:pPr>
              <w:pStyle w:val="FinancialsTableText"/>
              <w:jc w:val="right"/>
              <w:rPr>
                <w:lang w:val="en-GB"/>
              </w:rPr>
            </w:pPr>
            <w:r w:rsidRPr="00683344">
              <w:rPr>
                <w:lang w:val="en-GB"/>
              </w:rPr>
              <w:t xml:space="preserve"> (3,651)</w:t>
            </w:r>
          </w:p>
        </w:tc>
        <w:tc>
          <w:tcPr>
            <w:tcW w:w="827"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93"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180"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804"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204"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23" w:type="dxa"/>
            <w:vAlign w:val="bottom"/>
          </w:tcPr>
          <w:p w:rsidR="00683344" w:rsidRPr="00683344" w:rsidRDefault="00683344" w:rsidP="00E56D9D">
            <w:pPr>
              <w:pStyle w:val="FinancialsTableText"/>
              <w:jc w:val="right"/>
              <w:rPr>
                <w:lang w:val="en-GB"/>
              </w:rPr>
            </w:pPr>
            <w:r w:rsidRPr="00683344">
              <w:rPr>
                <w:lang w:val="en-GB"/>
              </w:rPr>
              <w:t xml:space="preserve"> (3,651)</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086" w:type="dxa"/>
            <w:vAlign w:val="bottom"/>
          </w:tcPr>
          <w:p w:rsidR="00683344" w:rsidRPr="00683344" w:rsidRDefault="00683344" w:rsidP="00E56D9D">
            <w:pPr>
              <w:pStyle w:val="FinancialsTableText"/>
              <w:jc w:val="right"/>
              <w:rPr>
                <w:lang w:val="en-GB"/>
              </w:rPr>
            </w:pPr>
            <w:r w:rsidRPr="00683344">
              <w:rPr>
                <w:lang w:val="en-GB"/>
              </w:rPr>
              <w:t xml:space="preserve"> (3,651)</w:t>
            </w:r>
          </w:p>
        </w:tc>
      </w:tr>
      <w:tr w:rsidR="00910024"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Contribution to settle prior period administrative accruals</w:t>
            </w:r>
          </w:p>
        </w:tc>
        <w:tc>
          <w:tcPr>
            <w:tcW w:w="851" w:type="dxa"/>
            <w:vAlign w:val="bottom"/>
          </w:tcPr>
          <w:p w:rsidR="00683344" w:rsidRPr="00683344" w:rsidRDefault="00683344" w:rsidP="00E56D9D">
            <w:pPr>
              <w:pStyle w:val="FinancialsTableText"/>
              <w:jc w:val="right"/>
              <w:rPr>
                <w:lang w:val="en-GB"/>
              </w:rPr>
            </w:pPr>
            <w:r w:rsidRPr="00683344">
              <w:rPr>
                <w:lang w:val="en-GB"/>
              </w:rPr>
              <w:t xml:space="preserve"> 514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157" w:type="dxa"/>
            <w:vAlign w:val="bottom"/>
          </w:tcPr>
          <w:p w:rsidR="00683344" w:rsidRPr="00683344" w:rsidRDefault="00683344" w:rsidP="00E56D9D">
            <w:pPr>
              <w:pStyle w:val="FinancialsTableText"/>
              <w:jc w:val="right"/>
              <w:rPr>
                <w:lang w:val="en-GB"/>
              </w:rPr>
            </w:pPr>
            <w:r w:rsidRPr="00683344">
              <w:rPr>
                <w:lang w:val="en-GB"/>
              </w:rPr>
              <w:t xml:space="preserve"> 514 </w:t>
            </w:r>
          </w:p>
        </w:tc>
        <w:tc>
          <w:tcPr>
            <w:tcW w:w="827"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93"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180"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804"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204"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923" w:type="dxa"/>
            <w:vAlign w:val="bottom"/>
          </w:tcPr>
          <w:p w:rsidR="00683344" w:rsidRPr="00683344" w:rsidRDefault="00683344" w:rsidP="00E56D9D">
            <w:pPr>
              <w:pStyle w:val="FinancialsTableText"/>
              <w:jc w:val="right"/>
              <w:rPr>
                <w:lang w:val="en-GB"/>
              </w:rPr>
            </w:pPr>
            <w:r w:rsidRPr="00683344">
              <w:rPr>
                <w:lang w:val="en-GB"/>
              </w:rPr>
              <w:t xml:space="preserve"> 514 </w:t>
            </w:r>
          </w:p>
        </w:tc>
        <w:tc>
          <w:tcPr>
            <w:tcW w:w="992" w:type="dxa"/>
            <w:vAlign w:val="bottom"/>
          </w:tcPr>
          <w:p w:rsidR="00683344" w:rsidRPr="00683344" w:rsidRDefault="00683344" w:rsidP="00E56D9D">
            <w:pPr>
              <w:pStyle w:val="FinancialsTableText"/>
              <w:jc w:val="right"/>
              <w:rPr>
                <w:lang w:val="en-GB"/>
              </w:rPr>
            </w:pPr>
            <w:r w:rsidRPr="00683344">
              <w:rPr>
                <w:lang w:val="en-GB"/>
              </w:rPr>
              <w:t xml:space="preserve"> – </w:t>
            </w:r>
          </w:p>
        </w:tc>
        <w:tc>
          <w:tcPr>
            <w:tcW w:w="1086" w:type="dxa"/>
            <w:vAlign w:val="bottom"/>
          </w:tcPr>
          <w:p w:rsidR="00683344" w:rsidRPr="00683344" w:rsidRDefault="00683344" w:rsidP="00E56D9D">
            <w:pPr>
              <w:pStyle w:val="FinancialsTableText"/>
              <w:jc w:val="right"/>
              <w:rPr>
                <w:lang w:val="en-GB"/>
              </w:rPr>
            </w:pPr>
            <w:r w:rsidRPr="00683344">
              <w:rPr>
                <w:lang w:val="en-GB"/>
              </w:rPr>
              <w:t xml:space="preserve"> 514 </w:t>
            </w:r>
          </w:p>
        </w:tc>
      </w:tr>
      <w:tr w:rsidR="00E56D9D" w:rsidRPr="00683344" w:rsidTr="00E56D9D">
        <w:trPr>
          <w:trHeight w:val="60"/>
        </w:trPr>
        <w:tc>
          <w:tcPr>
            <w:tcW w:w="2977" w:type="dxa"/>
          </w:tcPr>
          <w:p w:rsidR="00683344" w:rsidRPr="00683344" w:rsidRDefault="00683344" w:rsidP="00FC1EF2">
            <w:pPr>
              <w:pStyle w:val="FinancialsTableH2"/>
              <w:rPr>
                <w:lang w:val="en-GB"/>
              </w:rPr>
            </w:pPr>
            <w:r w:rsidRPr="00683344">
              <w:rPr>
                <w:lang w:val="en-GB"/>
              </w:rPr>
              <w:t>Contributions by owners</w:t>
            </w:r>
          </w:p>
        </w:tc>
        <w:tc>
          <w:tcPr>
            <w:tcW w:w="851"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157" w:type="dxa"/>
          </w:tcPr>
          <w:p w:rsidR="00683344" w:rsidRPr="00683344" w:rsidRDefault="00683344" w:rsidP="00910024">
            <w:pPr>
              <w:pStyle w:val="FinancialsTableText"/>
              <w:jc w:val="right"/>
            </w:pPr>
          </w:p>
        </w:tc>
        <w:tc>
          <w:tcPr>
            <w:tcW w:w="827" w:type="dxa"/>
          </w:tcPr>
          <w:p w:rsidR="00683344" w:rsidRPr="00683344" w:rsidRDefault="00683344" w:rsidP="00910024">
            <w:pPr>
              <w:pStyle w:val="FinancialsTableText"/>
              <w:jc w:val="right"/>
            </w:pPr>
          </w:p>
        </w:tc>
        <w:tc>
          <w:tcPr>
            <w:tcW w:w="993" w:type="dxa"/>
          </w:tcPr>
          <w:p w:rsidR="00683344" w:rsidRPr="00683344" w:rsidRDefault="00683344" w:rsidP="00910024">
            <w:pPr>
              <w:pStyle w:val="FinancialsTableText"/>
              <w:jc w:val="right"/>
            </w:pPr>
          </w:p>
        </w:tc>
        <w:tc>
          <w:tcPr>
            <w:tcW w:w="1180" w:type="dxa"/>
          </w:tcPr>
          <w:p w:rsidR="00683344" w:rsidRPr="00683344" w:rsidRDefault="00683344" w:rsidP="00910024">
            <w:pPr>
              <w:pStyle w:val="FinancialsTableText"/>
              <w:jc w:val="right"/>
            </w:pPr>
          </w:p>
        </w:tc>
        <w:tc>
          <w:tcPr>
            <w:tcW w:w="804" w:type="dxa"/>
          </w:tcPr>
          <w:p w:rsidR="00683344" w:rsidRPr="00683344" w:rsidRDefault="00683344" w:rsidP="00910024">
            <w:pPr>
              <w:pStyle w:val="FinancialsTableText"/>
              <w:jc w:val="right"/>
            </w:pPr>
          </w:p>
        </w:tc>
        <w:tc>
          <w:tcPr>
            <w:tcW w:w="992" w:type="dxa"/>
          </w:tcPr>
          <w:p w:rsidR="00683344" w:rsidRPr="00683344" w:rsidRDefault="00683344" w:rsidP="00910024">
            <w:pPr>
              <w:pStyle w:val="FinancialsTableText"/>
              <w:jc w:val="right"/>
            </w:pPr>
          </w:p>
        </w:tc>
        <w:tc>
          <w:tcPr>
            <w:tcW w:w="1204" w:type="dxa"/>
          </w:tcPr>
          <w:p w:rsidR="00683344" w:rsidRPr="00683344" w:rsidRDefault="00683344" w:rsidP="00910024">
            <w:pPr>
              <w:pStyle w:val="FinancialsTableText"/>
              <w:jc w:val="right"/>
            </w:pPr>
          </w:p>
        </w:tc>
        <w:tc>
          <w:tcPr>
            <w:tcW w:w="923"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086" w:type="dxa"/>
          </w:tcPr>
          <w:p w:rsidR="00683344" w:rsidRPr="00683344" w:rsidRDefault="00683344" w:rsidP="00910024">
            <w:pPr>
              <w:pStyle w:val="FinancialsTableText"/>
              <w:jc w:val="right"/>
            </w:pPr>
          </w:p>
        </w:tc>
      </w:tr>
      <w:tr w:rsidR="00910024"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Departmental capital budget</w:t>
            </w:r>
          </w:p>
        </w:tc>
        <w:tc>
          <w:tcPr>
            <w:tcW w:w="851"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157" w:type="dxa"/>
          </w:tcPr>
          <w:p w:rsidR="00683344" w:rsidRPr="00683344" w:rsidRDefault="00683344" w:rsidP="00910024">
            <w:pPr>
              <w:pStyle w:val="FinancialsTableText"/>
              <w:jc w:val="right"/>
              <w:rPr>
                <w:lang w:val="en-GB"/>
              </w:rPr>
            </w:pPr>
            <w:r w:rsidRPr="00683344">
              <w:rPr>
                <w:lang w:val="en-GB"/>
              </w:rPr>
              <w:t xml:space="preserve"> – </w:t>
            </w:r>
          </w:p>
        </w:tc>
        <w:tc>
          <w:tcPr>
            <w:tcW w:w="827" w:type="dxa"/>
          </w:tcPr>
          <w:p w:rsidR="00683344" w:rsidRPr="00683344" w:rsidRDefault="00683344" w:rsidP="00910024">
            <w:pPr>
              <w:pStyle w:val="FinancialsTableText"/>
              <w:jc w:val="right"/>
              <w:rPr>
                <w:lang w:val="en-GB"/>
              </w:rPr>
            </w:pPr>
            <w:r w:rsidRPr="00683344">
              <w:rPr>
                <w:lang w:val="en-GB"/>
              </w:rPr>
              <w:t xml:space="preserve"> – </w:t>
            </w:r>
          </w:p>
        </w:tc>
        <w:tc>
          <w:tcPr>
            <w:tcW w:w="993" w:type="dxa"/>
          </w:tcPr>
          <w:p w:rsidR="00683344" w:rsidRPr="00683344" w:rsidRDefault="00683344" w:rsidP="00910024">
            <w:pPr>
              <w:pStyle w:val="FinancialsTableText"/>
              <w:jc w:val="right"/>
              <w:rPr>
                <w:lang w:val="en-GB"/>
              </w:rPr>
            </w:pPr>
            <w:r w:rsidRPr="00683344">
              <w:rPr>
                <w:lang w:val="en-GB"/>
              </w:rPr>
              <w:t xml:space="preserve"> – </w:t>
            </w:r>
          </w:p>
        </w:tc>
        <w:tc>
          <w:tcPr>
            <w:tcW w:w="1180" w:type="dxa"/>
          </w:tcPr>
          <w:p w:rsidR="00683344" w:rsidRPr="00683344" w:rsidRDefault="00683344" w:rsidP="00910024">
            <w:pPr>
              <w:pStyle w:val="FinancialsTableText"/>
              <w:jc w:val="right"/>
              <w:rPr>
                <w:lang w:val="en-GB"/>
              </w:rPr>
            </w:pPr>
            <w:r w:rsidRPr="00683344">
              <w:rPr>
                <w:lang w:val="en-GB"/>
              </w:rPr>
              <w:t xml:space="preserve"> – </w:t>
            </w:r>
          </w:p>
        </w:tc>
        <w:tc>
          <w:tcPr>
            <w:tcW w:w="804"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198 </w:t>
            </w:r>
          </w:p>
        </w:tc>
        <w:tc>
          <w:tcPr>
            <w:tcW w:w="1204" w:type="dxa"/>
          </w:tcPr>
          <w:p w:rsidR="00683344" w:rsidRPr="00683344" w:rsidRDefault="00683344" w:rsidP="00910024">
            <w:pPr>
              <w:pStyle w:val="FinancialsTableText"/>
              <w:jc w:val="right"/>
              <w:rPr>
                <w:lang w:val="en-GB"/>
              </w:rPr>
            </w:pPr>
            <w:r w:rsidRPr="00683344">
              <w:rPr>
                <w:lang w:val="en-GB"/>
              </w:rPr>
              <w:t xml:space="preserve"> (198)</w:t>
            </w:r>
          </w:p>
        </w:tc>
        <w:tc>
          <w:tcPr>
            <w:tcW w:w="923"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198 </w:t>
            </w:r>
          </w:p>
        </w:tc>
        <w:tc>
          <w:tcPr>
            <w:tcW w:w="1086" w:type="dxa"/>
          </w:tcPr>
          <w:p w:rsidR="00683344" w:rsidRPr="00683344" w:rsidRDefault="00683344" w:rsidP="00910024">
            <w:pPr>
              <w:pStyle w:val="FinancialsTableText"/>
              <w:jc w:val="right"/>
              <w:rPr>
                <w:lang w:val="en-GB"/>
              </w:rPr>
            </w:pPr>
            <w:r w:rsidRPr="00683344">
              <w:rPr>
                <w:lang w:val="en-GB"/>
              </w:rPr>
              <w:t xml:space="preserve"> (198)</w:t>
            </w:r>
          </w:p>
        </w:tc>
      </w:tr>
      <w:tr w:rsidR="00E56D9D" w:rsidRPr="00683344" w:rsidTr="00E56D9D">
        <w:trPr>
          <w:trHeight w:val="60"/>
        </w:trPr>
        <w:tc>
          <w:tcPr>
            <w:tcW w:w="2977" w:type="dxa"/>
          </w:tcPr>
          <w:p w:rsidR="00683344" w:rsidRPr="00683344" w:rsidRDefault="00683344" w:rsidP="00FC1EF2">
            <w:pPr>
              <w:pStyle w:val="FinancialsTableTextIndented"/>
              <w:rPr>
                <w:lang w:val="en-GB"/>
              </w:rPr>
            </w:pPr>
            <w:r w:rsidRPr="00683344">
              <w:rPr>
                <w:lang w:val="en-GB"/>
              </w:rPr>
              <w:t>Restructuring</w:t>
            </w:r>
          </w:p>
        </w:tc>
        <w:tc>
          <w:tcPr>
            <w:tcW w:w="851"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157" w:type="dxa"/>
          </w:tcPr>
          <w:p w:rsidR="00683344" w:rsidRPr="00683344" w:rsidRDefault="00683344" w:rsidP="00910024">
            <w:pPr>
              <w:pStyle w:val="FinancialsTableText"/>
              <w:jc w:val="right"/>
              <w:rPr>
                <w:lang w:val="en-GB"/>
              </w:rPr>
            </w:pPr>
            <w:r w:rsidRPr="00683344">
              <w:rPr>
                <w:lang w:val="en-GB"/>
              </w:rPr>
              <w:t xml:space="preserve"> – </w:t>
            </w:r>
          </w:p>
        </w:tc>
        <w:tc>
          <w:tcPr>
            <w:tcW w:w="827" w:type="dxa"/>
          </w:tcPr>
          <w:p w:rsidR="00683344" w:rsidRPr="00683344" w:rsidRDefault="00683344" w:rsidP="00910024">
            <w:pPr>
              <w:pStyle w:val="FinancialsTableText"/>
              <w:jc w:val="right"/>
              <w:rPr>
                <w:lang w:val="en-GB"/>
              </w:rPr>
            </w:pPr>
            <w:r w:rsidRPr="00683344">
              <w:rPr>
                <w:lang w:val="en-GB"/>
              </w:rPr>
              <w:t xml:space="preserve"> – </w:t>
            </w:r>
          </w:p>
        </w:tc>
        <w:tc>
          <w:tcPr>
            <w:tcW w:w="993" w:type="dxa"/>
          </w:tcPr>
          <w:p w:rsidR="00683344" w:rsidRPr="00683344" w:rsidRDefault="00683344" w:rsidP="00910024">
            <w:pPr>
              <w:pStyle w:val="FinancialsTableText"/>
              <w:jc w:val="right"/>
              <w:rPr>
                <w:lang w:val="en-GB"/>
              </w:rPr>
            </w:pPr>
            <w:r w:rsidRPr="00683344">
              <w:rPr>
                <w:lang w:val="en-GB"/>
              </w:rPr>
              <w:t xml:space="preserve"> – </w:t>
            </w:r>
          </w:p>
        </w:tc>
        <w:tc>
          <w:tcPr>
            <w:tcW w:w="1180" w:type="dxa"/>
          </w:tcPr>
          <w:p w:rsidR="00683344" w:rsidRPr="00683344" w:rsidRDefault="00683344" w:rsidP="00910024">
            <w:pPr>
              <w:pStyle w:val="FinancialsTableText"/>
              <w:jc w:val="right"/>
              <w:rPr>
                <w:lang w:val="en-GB"/>
              </w:rPr>
            </w:pPr>
            <w:r w:rsidRPr="00683344">
              <w:rPr>
                <w:lang w:val="en-GB"/>
              </w:rPr>
              <w:t xml:space="preserve"> – </w:t>
            </w:r>
          </w:p>
        </w:tc>
        <w:tc>
          <w:tcPr>
            <w:tcW w:w="804"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204" w:type="dxa"/>
          </w:tcPr>
          <w:p w:rsidR="00683344" w:rsidRPr="00683344" w:rsidRDefault="00683344" w:rsidP="00910024">
            <w:pPr>
              <w:pStyle w:val="FinancialsTableText"/>
              <w:jc w:val="right"/>
              <w:rPr>
                <w:lang w:val="en-GB"/>
              </w:rPr>
            </w:pPr>
            <w:r w:rsidRPr="00683344">
              <w:rPr>
                <w:lang w:val="en-GB"/>
              </w:rPr>
              <w:t xml:space="preserve"> – </w:t>
            </w:r>
          </w:p>
        </w:tc>
        <w:tc>
          <w:tcPr>
            <w:tcW w:w="923" w:type="dxa"/>
          </w:tcPr>
          <w:p w:rsidR="00683344" w:rsidRPr="00683344" w:rsidRDefault="00683344" w:rsidP="00910024">
            <w:pPr>
              <w:pStyle w:val="FinancialsTableText"/>
              <w:jc w:val="right"/>
              <w:rPr>
                <w:lang w:val="en-GB"/>
              </w:rPr>
            </w:pPr>
            <w:r w:rsidRPr="00683344">
              <w:rPr>
                <w:lang w:val="en-GB"/>
              </w:rPr>
              <w:t xml:space="preserve"> – </w:t>
            </w:r>
          </w:p>
        </w:tc>
        <w:tc>
          <w:tcPr>
            <w:tcW w:w="992" w:type="dxa"/>
          </w:tcPr>
          <w:p w:rsidR="00683344" w:rsidRPr="00683344" w:rsidRDefault="00683344" w:rsidP="00910024">
            <w:pPr>
              <w:pStyle w:val="FinancialsTableText"/>
              <w:jc w:val="right"/>
              <w:rPr>
                <w:lang w:val="en-GB"/>
              </w:rPr>
            </w:pPr>
            <w:r w:rsidRPr="00683344">
              <w:rPr>
                <w:lang w:val="en-GB"/>
              </w:rPr>
              <w:t xml:space="preserve"> – </w:t>
            </w:r>
          </w:p>
        </w:tc>
        <w:tc>
          <w:tcPr>
            <w:tcW w:w="1086" w:type="dxa"/>
          </w:tcPr>
          <w:p w:rsidR="00683344" w:rsidRPr="00683344" w:rsidRDefault="00683344" w:rsidP="00910024">
            <w:pPr>
              <w:pStyle w:val="FinancialsTableText"/>
              <w:jc w:val="right"/>
              <w:rPr>
                <w:lang w:val="en-GB"/>
              </w:rPr>
            </w:pPr>
            <w:r w:rsidRPr="00683344">
              <w:rPr>
                <w:lang w:val="en-GB"/>
              </w:rPr>
              <w:t xml:space="preserve"> – </w:t>
            </w:r>
          </w:p>
        </w:tc>
      </w:tr>
      <w:tr w:rsidR="00910024" w:rsidRPr="00683344" w:rsidTr="00E56D9D">
        <w:trPr>
          <w:trHeight w:val="60"/>
        </w:trPr>
        <w:tc>
          <w:tcPr>
            <w:tcW w:w="2977" w:type="dxa"/>
          </w:tcPr>
          <w:p w:rsidR="00683344" w:rsidRPr="00683344" w:rsidRDefault="00683344" w:rsidP="0012427E">
            <w:pPr>
              <w:pStyle w:val="FinancialsTableText"/>
              <w:rPr>
                <w:b/>
                <w:bCs/>
                <w:lang w:val="en-GB"/>
              </w:rPr>
            </w:pPr>
            <w:r w:rsidRPr="00683344">
              <w:rPr>
                <w:b/>
                <w:bCs/>
                <w:lang w:val="en-GB"/>
              </w:rPr>
              <w:t>Total transactions with owners</w:t>
            </w:r>
          </w:p>
        </w:tc>
        <w:tc>
          <w:tcPr>
            <w:tcW w:w="851" w:type="dxa"/>
            <w:vAlign w:val="bottom"/>
          </w:tcPr>
          <w:p w:rsidR="00683344" w:rsidRPr="00683344" w:rsidRDefault="00683344" w:rsidP="00E56D9D">
            <w:pPr>
              <w:pStyle w:val="FinancialsTableText"/>
              <w:jc w:val="right"/>
              <w:rPr>
                <w:b/>
                <w:bCs/>
                <w:lang w:val="en-GB"/>
              </w:rPr>
            </w:pPr>
            <w:r w:rsidRPr="00683344">
              <w:rPr>
                <w:b/>
                <w:bCs/>
                <w:lang w:val="en-GB"/>
              </w:rPr>
              <w:t xml:space="preserve"> (3,137)</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1157" w:type="dxa"/>
            <w:vAlign w:val="bottom"/>
          </w:tcPr>
          <w:p w:rsidR="00683344" w:rsidRPr="00683344" w:rsidRDefault="00683344" w:rsidP="00E56D9D">
            <w:pPr>
              <w:pStyle w:val="FinancialsTableText"/>
              <w:jc w:val="right"/>
              <w:rPr>
                <w:b/>
                <w:bCs/>
                <w:lang w:val="en-GB"/>
              </w:rPr>
            </w:pPr>
            <w:r w:rsidRPr="00683344">
              <w:rPr>
                <w:b/>
                <w:bCs/>
                <w:lang w:val="en-GB"/>
              </w:rPr>
              <w:t xml:space="preserve"> (3,137)</w:t>
            </w:r>
          </w:p>
        </w:tc>
        <w:tc>
          <w:tcPr>
            <w:tcW w:w="827"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993"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1180"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804"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198 </w:t>
            </w:r>
          </w:p>
        </w:tc>
        <w:tc>
          <w:tcPr>
            <w:tcW w:w="1204" w:type="dxa"/>
            <w:vAlign w:val="bottom"/>
          </w:tcPr>
          <w:p w:rsidR="00683344" w:rsidRPr="00683344" w:rsidRDefault="00683344" w:rsidP="00E56D9D">
            <w:pPr>
              <w:pStyle w:val="FinancialsTableText"/>
              <w:jc w:val="right"/>
              <w:rPr>
                <w:b/>
                <w:bCs/>
                <w:lang w:val="en-GB"/>
              </w:rPr>
            </w:pPr>
            <w:r w:rsidRPr="00683344">
              <w:rPr>
                <w:b/>
                <w:bCs/>
                <w:lang w:val="en-GB"/>
              </w:rPr>
              <w:t xml:space="preserve"> (198)</w:t>
            </w:r>
          </w:p>
        </w:tc>
        <w:tc>
          <w:tcPr>
            <w:tcW w:w="923" w:type="dxa"/>
            <w:vAlign w:val="bottom"/>
          </w:tcPr>
          <w:p w:rsidR="00683344" w:rsidRPr="00683344" w:rsidRDefault="00683344" w:rsidP="00E56D9D">
            <w:pPr>
              <w:pStyle w:val="FinancialsTableText"/>
              <w:jc w:val="right"/>
              <w:rPr>
                <w:b/>
                <w:bCs/>
                <w:lang w:val="en-GB"/>
              </w:rPr>
            </w:pPr>
            <w:r w:rsidRPr="00683344">
              <w:rPr>
                <w:b/>
                <w:bCs/>
                <w:lang w:val="en-GB"/>
              </w:rPr>
              <w:t xml:space="preserve"> (3,137)</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198 </w:t>
            </w:r>
          </w:p>
        </w:tc>
        <w:tc>
          <w:tcPr>
            <w:tcW w:w="1086" w:type="dxa"/>
            <w:vAlign w:val="bottom"/>
          </w:tcPr>
          <w:p w:rsidR="00683344" w:rsidRPr="00683344" w:rsidRDefault="00683344" w:rsidP="00E56D9D">
            <w:pPr>
              <w:pStyle w:val="FinancialsTableText"/>
              <w:jc w:val="right"/>
              <w:rPr>
                <w:b/>
                <w:bCs/>
                <w:lang w:val="en-GB"/>
              </w:rPr>
            </w:pPr>
            <w:r w:rsidRPr="00683344">
              <w:rPr>
                <w:b/>
                <w:bCs/>
                <w:lang w:val="en-GB"/>
              </w:rPr>
              <w:t xml:space="preserve"> (3,335)</w:t>
            </w:r>
          </w:p>
        </w:tc>
      </w:tr>
      <w:tr w:rsidR="00E56D9D" w:rsidRPr="00683344" w:rsidTr="00E56D9D">
        <w:trPr>
          <w:trHeight w:val="60"/>
        </w:trPr>
        <w:tc>
          <w:tcPr>
            <w:tcW w:w="2977" w:type="dxa"/>
          </w:tcPr>
          <w:p w:rsidR="00683344" w:rsidRPr="00683344" w:rsidRDefault="00683344" w:rsidP="0012427E">
            <w:pPr>
              <w:pStyle w:val="FinancialsTableText"/>
              <w:rPr>
                <w:b/>
                <w:bCs/>
                <w:lang w:val="en-GB"/>
              </w:rPr>
            </w:pPr>
            <w:r w:rsidRPr="00683344">
              <w:rPr>
                <w:b/>
                <w:bCs/>
                <w:lang w:val="en-GB"/>
              </w:rPr>
              <w:t>Closing balance as at 30 June</w:t>
            </w:r>
          </w:p>
        </w:tc>
        <w:tc>
          <w:tcPr>
            <w:tcW w:w="851" w:type="dxa"/>
            <w:vAlign w:val="bottom"/>
          </w:tcPr>
          <w:p w:rsidR="00683344" w:rsidRPr="00683344" w:rsidRDefault="00683344" w:rsidP="00E56D9D">
            <w:pPr>
              <w:pStyle w:val="FinancialsTableText"/>
              <w:jc w:val="right"/>
              <w:rPr>
                <w:b/>
                <w:bCs/>
                <w:lang w:val="en-GB"/>
              </w:rPr>
            </w:pPr>
            <w:r w:rsidRPr="00683344">
              <w:rPr>
                <w:b/>
                <w:bCs/>
                <w:lang w:val="en-GB"/>
              </w:rPr>
              <w:t xml:space="preserve"> 19,711 </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17,325 </w:t>
            </w:r>
          </w:p>
        </w:tc>
        <w:tc>
          <w:tcPr>
            <w:tcW w:w="1157" w:type="dxa"/>
            <w:vAlign w:val="bottom"/>
          </w:tcPr>
          <w:p w:rsidR="00683344" w:rsidRPr="00683344" w:rsidRDefault="00683344" w:rsidP="00E56D9D">
            <w:pPr>
              <w:pStyle w:val="FinancialsTableText"/>
              <w:jc w:val="right"/>
              <w:rPr>
                <w:b/>
                <w:bCs/>
                <w:lang w:val="en-GB"/>
              </w:rPr>
            </w:pPr>
            <w:r w:rsidRPr="00683344">
              <w:rPr>
                <w:b/>
                <w:bCs/>
                <w:lang w:val="en-GB"/>
              </w:rPr>
              <w:t xml:space="preserve"> 2,386 </w:t>
            </w:r>
          </w:p>
        </w:tc>
        <w:tc>
          <w:tcPr>
            <w:tcW w:w="827" w:type="dxa"/>
            <w:vAlign w:val="bottom"/>
          </w:tcPr>
          <w:p w:rsidR="00683344" w:rsidRPr="00683344" w:rsidRDefault="00683344" w:rsidP="00E56D9D">
            <w:pPr>
              <w:pStyle w:val="FinancialsTableText"/>
              <w:jc w:val="right"/>
              <w:rPr>
                <w:b/>
                <w:bCs/>
                <w:lang w:val="en-GB"/>
              </w:rPr>
            </w:pPr>
            <w:r w:rsidRPr="00683344">
              <w:rPr>
                <w:b/>
                <w:bCs/>
                <w:lang w:val="en-GB"/>
              </w:rPr>
              <w:t xml:space="preserve"> 16 </w:t>
            </w:r>
          </w:p>
        </w:tc>
        <w:tc>
          <w:tcPr>
            <w:tcW w:w="993" w:type="dxa"/>
            <w:vAlign w:val="bottom"/>
          </w:tcPr>
          <w:p w:rsidR="00683344" w:rsidRPr="00683344" w:rsidRDefault="00683344" w:rsidP="00E56D9D">
            <w:pPr>
              <w:pStyle w:val="FinancialsTableText"/>
              <w:jc w:val="right"/>
              <w:rPr>
                <w:b/>
                <w:bCs/>
                <w:lang w:val="en-GB"/>
              </w:rPr>
            </w:pPr>
            <w:r w:rsidRPr="00683344">
              <w:rPr>
                <w:b/>
                <w:bCs/>
                <w:lang w:val="en-GB"/>
              </w:rPr>
              <w:t xml:space="preserve"> – </w:t>
            </w:r>
          </w:p>
        </w:tc>
        <w:tc>
          <w:tcPr>
            <w:tcW w:w="1180" w:type="dxa"/>
            <w:vAlign w:val="bottom"/>
          </w:tcPr>
          <w:p w:rsidR="00683344" w:rsidRPr="00683344" w:rsidRDefault="00683344" w:rsidP="00E56D9D">
            <w:pPr>
              <w:pStyle w:val="FinancialsTableText"/>
              <w:jc w:val="right"/>
              <w:rPr>
                <w:b/>
                <w:bCs/>
                <w:lang w:val="en-GB"/>
              </w:rPr>
            </w:pPr>
            <w:r w:rsidRPr="00683344">
              <w:rPr>
                <w:b/>
                <w:bCs/>
                <w:lang w:val="en-GB"/>
              </w:rPr>
              <w:t xml:space="preserve"> 16 </w:t>
            </w:r>
          </w:p>
        </w:tc>
        <w:tc>
          <w:tcPr>
            <w:tcW w:w="804" w:type="dxa"/>
            <w:vAlign w:val="bottom"/>
          </w:tcPr>
          <w:p w:rsidR="00683344" w:rsidRPr="00683344" w:rsidRDefault="00683344" w:rsidP="00E56D9D">
            <w:pPr>
              <w:pStyle w:val="FinancialsTableText"/>
              <w:jc w:val="right"/>
              <w:rPr>
                <w:b/>
                <w:bCs/>
                <w:lang w:val="en-GB"/>
              </w:rPr>
            </w:pPr>
            <w:r w:rsidRPr="00683344">
              <w:rPr>
                <w:b/>
                <w:bCs/>
                <w:lang w:val="en-GB"/>
              </w:rPr>
              <w:t xml:space="preserve"> 400 </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598 </w:t>
            </w:r>
          </w:p>
        </w:tc>
        <w:tc>
          <w:tcPr>
            <w:tcW w:w="1204" w:type="dxa"/>
            <w:vAlign w:val="bottom"/>
          </w:tcPr>
          <w:p w:rsidR="00683344" w:rsidRPr="00683344" w:rsidRDefault="00683344" w:rsidP="00E56D9D">
            <w:pPr>
              <w:pStyle w:val="FinancialsTableText"/>
              <w:jc w:val="right"/>
              <w:rPr>
                <w:b/>
                <w:bCs/>
                <w:lang w:val="en-GB"/>
              </w:rPr>
            </w:pPr>
            <w:r w:rsidRPr="00683344">
              <w:rPr>
                <w:b/>
                <w:bCs/>
                <w:lang w:val="en-GB"/>
              </w:rPr>
              <w:t xml:space="preserve"> (198)</w:t>
            </w:r>
          </w:p>
        </w:tc>
        <w:tc>
          <w:tcPr>
            <w:tcW w:w="923" w:type="dxa"/>
            <w:vAlign w:val="bottom"/>
          </w:tcPr>
          <w:p w:rsidR="00683344" w:rsidRPr="00683344" w:rsidRDefault="00683344" w:rsidP="00E56D9D">
            <w:pPr>
              <w:pStyle w:val="FinancialsTableText"/>
              <w:jc w:val="right"/>
              <w:rPr>
                <w:b/>
                <w:bCs/>
                <w:lang w:val="en-GB"/>
              </w:rPr>
            </w:pPr>
            <w:r w:rsidRPr="00683344">
              <w:rPr>
                <w:b/>
                <w:bCs/>
                <w:lang w:val="en-GB"/>
              </w:rPr>
              <w:t xml:space="preserve"> 20,127 </w:t>
            </w:r>
          </w:p>
        </w:tc>
        <w:tc>
          <w:tcPr>
            <w:tcW w:w="992" w:type="dxa"/>
            <w:vAlign w:val="bottom"/>
          </w:tcPr>
          <w:p w:rsidR="00683344" w:rsidRPr="00683344" w:rsidRDefault="00683344" w:rsidP="00E56D9D">
            <w:pPr>
              <w:pStyle w:val="FinancialsTableText"/>
              <w:jc w:val="right"/>
              <w:rPr>
                <w:b/>
                <w:bCs/>
                <w:lang w:val="en-GB"/>
              </w:rPr>
            </w:pPr>
            <w:r w:rsidRPr="00683344">
              <w:rPr>
                <w:b/>
                <w:bCs/>
                <w:lang w:val="en-GB"/>
              </w:rPr>
              <w:t xml:space="preserve"> 17,923 </w:t>
            </w:r>
          </w:p>
        </w:tc>
        <w:tc>
          <w:tcPr>
            <w:tcW w:w="1086" w:type="dxa"/>
            <w:vAlign w:val="bottom"/>
          </w:tcPr>
          <w:p w:rsidR="00683344" w:rsidRPr="00683344" w:rsidRDefault="00683344" w:rsidP="00E56D9D">
            <w:pPr>
              <w:pStyle w:val="FinancialsTableText"/>
              <w:jc w:val="right"/>
              <w:rPr>
                <w:b/>
                <w:bCs/>
                <w:lang w:val="en-GB"/>
              </w:rPr>
            </w:pPr>
            <w:r w:rsidRPr="00683344">
              <w:rPr>
                <w:b/>
                <w:bCs/>
                <w:lang w:val="en-GB"/>
              </w:rPr>
              <w:t xml:space="preserve"> 2,204</w:t>
            </w:r>
          </w:p>
        </w:tc>
      </w:tr>
    </w:tbl>
    <w:p w:rsidR="00683344" w:rsidRDefault="00683344" w:rsidP="00B767AF">
      <w:pPr>
        <w:spacing w:before="0"/>
      </w:pPr>
    </w:p>
    <w:p w:rsidR="00B767AF" w:rsidRDefault="00B767AF" w:rsidP="00B767AF"/>
    <w:p w:rsidR="00B767AF" w:rsidRDefault="00B767AF" w:rsidP="00B767AF">
      <w:pPr>
        <w:sectPr w:rsidR="00B767AF" w:rsidSect="00CA2E02">
          <w:headerReference w:type="default" r:id="rId43"/>
          <w:pgSz w:w="16838" w:h="11906" w:orient="landscape" w:code="9"/>
          <w:pgMar w:top="1021" w:right="1021" w:bottom="1021" w:left="851" w:header="567" w:footer="510" w:gutter="0"/>
          <w:cols w:space="708"/>
          <w:docGrid w:linePitch="360"/>
        </w:sectPr>
      </w:pPr>
    </w:p>
    <w:p w:rsidR="001B60D4" w:rsidRDefault="001B60D4" w:rsidP="001B60D4">
      <w:pPr>
        <w:pStyle w:val="Heading1"/>
      </w:pPr>
      <w:bookmarkStart w:id="46" w:name="_Toc432437400"/>
      <w:r w:rsidRPr="001B60D4">
        <w:rPr>
          <w:caps w:val="0"/>
          <w:color w:val="FFFFFF" w:themeColor="background1"/>
          <w:sz w:val="32"/>
          <w:szCs w:val="32"/>
        </w:rPr>
        <w:t>Appendix A</w:t>
      </w:r>
      <w:r w:rsidRPr="001B60D4">
        <w:rPr>
          <w:color w:val="FFFFFF" w:themeColor="background1"/>
        </w:rPr>
        <w:br/>
        <w:t>Further</w:t>
      </w:r>
      <w:r w:rsidRPr="001B60D4">
        <w:rPr>
          <w:color w:val="FFFFFF" w:themeColor="background1"/>
        </w:rPr>
        <w:br/>
        <w:t>Information</w:t>
      </w:r>
      <w:r w:rsidRPr="004225DC">
        <w:rPr>
          <w:noProof/>
          <w:color w:val="FFFFFF" w:themeColor="background1"/>
        </w:rPr>
        <w:drawing>
          <wp:anchor distT="0" distB="0" distL="114300" distR="114300" simplePos="0" relativeHeight="251658240" behindDoc="1" locked="0" layoutInCell="0" allowOverlap="1" wp14:anchorId="30D44103" wp14:editId="59CEEB47">
            <wp:simplePos x="0" y="0"/>
            <wp:positionH relativeFrom="page">
              <wp:align>left</wp:align>
            </wp:positionH>
            <wp:positionV relativeFrom="page">
              <wp:align>top</wp:align>
            </wp:positionV>
            <wp:extent cx="7560000" cy="1069200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46"/>
      <w:r>
        <w:br w:type="page"/>
      </w:r>
    </w:p>
    <w:p w:rsidR="00065A5E" w:rsidRPr="00065A5E" w:rsidRDefault="00065A5E" w:rsidP="00FC6134">
      <w:pPr>
        <w:pStyle w:val="AppendixH1"/>
        <w:rPr>
          <w:lang w:val="en-GB"/>
        </w:rPr>
      </w:pPr>
      <w:r w:rsidRPr="00065A5E">
        <w:rPr>
          <w:lang w:val="en-GB"/>
        </w:rPr>
        <w:t xml:space="preserve">Freedom of </w:t>
      </w:r>
      <w:r w:rsidR="00676870">
        <w:rPr>
          <w:lang w:val="en-GB"/>
        </w:rPr>
        <w:br/>
      </w:r>
      <w:r w:rsidRPr="00065A5E">
        <w:rPr>
          <w:lang w:val="en-GB"/>
        </w:rPr>
        <w:t xml:space="preserve">Information </w:t>
      </w:r>
    </w:p>
    <w:p w:rsidR="00065A5E" w:rsidRPr="00065A5E" w:rsidRDefault="00065A5E" w:rsidP="00065A5E">
      <w:pPr>
        <w:rPr>
          <w:lang w:val="en-GB"/>
        </w:rPr>
      </w:pPr>
      <w:r w:rsidRPr="00065A5E">
        <w:rPr>
          <w:lang w:val="en-GB"/>
        </w:rPr>
        <w:t xml:space="preserve">The </w:t>
      </w:r>
      <w:r w:rsidRPr="00065A5E">
        <w:rPr>
          <w:i/>
          <w:iCs/>
          <w:lang w:val="en-GB"/>
        </w:rPr>
        <w:t>Freedom of Information Act 1982</w:t>
      </w:r>
      <w:r w:rsidRPr="00065A5E">
        <w:rPr>
          <w:lang w:val="en-GB"/>
        </w:rPr>
        <w:t xml:space="preserve"> (FOI Act) promotes disclosure of government information and expressly recognises that public access to government information is to be provided promptly and at the lowest reasonable cost.</w:t>
      </w:r>
    </w:p>
    <w:p w:rsidR="00065A5E" w:rsidRPr="00065A5E" w:rsidRDefault="00065A5E" w:rsidP="00065A5E">
      <w:pPr>
        <w:rPr>
          <w:lang w:val="en-GB"/>
        </w:rPr>
      </w:pPr>
      <w:r w:rsidRPr="00065A5E">
        <w:rPr>
          <w:lang w:val="en-GB"/>
        </w:rPr>
        <w:t>The Information Publication Scheme (IPS) was established by Part II of the FOI Act with effect from 1 May 2011. This requirement has replaced the previous requirement for agencies to publish a Section 8 statement in their annual report.</w:t>
      </w:r>
    </w:p>
    <w:p w:rsidR="00065A5E" w:rsidRPr="00065A5E" w:rsidRDefault="00065A5E" w:rsidP="00065A5E">
      <w:pPr>
        <w:rPr>
          <w:lang w:val="en-GB"/>
        </w:rPr>
      </w:pPr>
      <w:r w:rsidRPr="00065A5E">
        <w:rPr>
          <w:lang w:val="en-GB"/>
        </w:rPr>
        <w:t xml:space="preserve">Our Information Publication Scheme is available on our website at </w:t>
      </w:r>
      <w:hyperlink r:id="rId44" w:history="1">
        <w:r w:rsidRPr="00065A5E">
          <w:rPr>
            <w:rStyle w:val="Hyperlink"/>
            <w:lang w:val="en-GB"/>
          </w:rPr>
          <w:t>www.ihpa.gov.au</w:t>
        </w:r>
      </w:hyperlink>
      <w:r w:rsidRPr="00065A5E">
        <w:rPr>
          <w:lang w:val="en-GB"/>
        </w:rPr>
        <w:t>. This includes information about the type of documents we hold and our FOI procedures, facilities and contact details.</w:t>
      </w:r>
    </w:p>
    <w:p w:rsidR="00065A5E" w:rsidRPr="00065A5E" w:rsidRDefault="00065A5E" w:rsidP="00065A5E">
      <w:pPr>
        <w:rPr>
          <w:lang w:val="en-GB"/>
        </w:rPr>
      </w:pPr>
      <w:r w:rsidRPr="00065A5E">
        <w:rPr>
          <w:lang w:val="en-GB"/>
        </w:rPr>
        <w:t>More information about the classes of personal information we hold is available at the Office of the Australian Information Commissioner website at </w:t>
      </w:r>
      <w:hyperlink r:id="rId45" w:history="1">
        <w:r w:rsidRPr="00065A5E">
          <w:rPr>
            <w:rStyle w:val="Hyperlink"/>
            <w:lang w:val="en-GB"/>
          </w:rPr>
          <w:t>www.privacy.gov.au</w:t>
        </w:r>
      </w:hyperlink>
    </w:p>
    <w:p w:rsidR="00065A5E" w:rsidRPr="00065A5E" w:rsidRDefault="00FC6134" w:rsidP="00FC6134">
      <w:pPr>
        <w:pStyle w:val="AppendixH2"/>
        <w:rPr>
          <w:lang w:val="en-GB"/>
        </w:rPr>
      </w:pPr>
      <w:r w:rsidRPr="00065A5E">
        <w:rPr>
          <w:lang w:val="en-GB"/>
        </w:rPr>
        <w:t>HOW TO LODGE AN FOI REQUEST</w:t>
      </w:r>
    </w:p>
    <w:p w:rsidR="00065A5E" w:rsidRPr="00065A5E" w:rsidRDefault="00065A5E" w:rsidP="00065A5E">
      <w:pPr>
        <w:rPr>
          <w:lang w:val="en-GB"/>
        </w:rPr>
      </w:pPr>
      <w:r w:rsidRPr="00065A5E">
        <w:rPr>
          <w:lang w:val="en-GB"/>
        </w:rPr>
        <w:t>If you want to view one or more documents, you must send us a request in writing, by mail, fax or email. You need to include as much detail as possible about the document(s) you want to access. FOI application forms are available on our website. The FOI Act provides that charges may be imposed for processing requests. If access is granted to the documents under the FOI Act, you will be provided with either a copy of the document(s) or the opportunity to inspect them at our Sydney office.</w:t>
      </w:r>
    </w:p>
    <w:p w:rsidR="00065A5E" w:rsidRPr="00065A5E" w:rsidRDefault="00FC6134" w:rsidP="00FC6134">
      <w:pPr>
        <w:pStyle w:val="AppendixH2"/>
        <w:rPr>
          <w:lang w:val="en-GB"/>
        </w:rPr>
      </w:pPr>
      <w:r w:rsidRPr="00065A5E">
        <w:rPr>
          <w:lang w:val="en-GB"/>
        </w:rPr>
        <w:t>MORE INFORMATION</w:t>
      </w:r>
    </w:p>
    <w:p w:rsidR="00065A5E" w:rsidRPr="00065A5E" w:rsidRDefault="00065A5E" w:rsidP="00065A5E">
      <w:pPr>
        <w:rPr>
          <w:lang w:val="en-GB"/>
        </w:rPr>
      </w:pPr>
      <w:r w:rsidRPr="00065A5E">
        <w:rPr>
          <w:lang w:val="en-GB"/>
        </w:rPr>
        <w:t>For more information, contact our FOI Officer using the following details:</w:t>
      </w:r>
    </w:p>
    <w:p w:rsidR="00065A5E" w:rsidRPr="00065A5E" w:rsidRDefault="00065A5E" w:rsidP="00065A5E">
      <w:pPr>
        <w:pStyle w:val="NoSpacing"/>
        <w:rPr>
          <w:b/>
        </w:rPr>
      </w:pPr>
      <w:r w:rsidRPr="00065A5E">
        <w:rPr>
          <w:b/>
        </w:rPr>
        <w:t>FOI Officer</w:t>
      </w:r>
    </w:p>
    <w:p w:rsidR="00065A5E" w:rsidRPr="00065A5E" w:rsidRDefault="00065A5E" w:rsidP="00065A5E">
      <w:pPr>
        <w:pStyle w:val="NoSpacing"/>
        <w:rPr>
          <w:lang w:val="en-GB"/>
        </w:rPr>
      </w:pPr>
      <w:r w:rsidRPr="00065A5E">
        <w:rPr>
          <w:lang w:val="en-GB"/>
        </w:rPr>
        <w:t>Independent Hospital Pricing Authority</w:t>
      </w:r>
    </w:p>
    <w:p w:rsidR="00065A5E" w:rsidRPr="00065A5E" w:rsidRDefault="00065A5E" w:rsidP="00065A5E">
      <w:pPr>
        <w:pStyle w:val="NoSpacing"/>
        <w:rPr>
          <w:lang w:val="en-GB"/>
        </w:rPr>
      </w:pPr>
      <w:r w:rsidRPr="00065A5E">
        <w:rPr>
          <w:lang w:val="en-GB"/>
        </w:rPr>
        <w:t>PO Box 483</w:t>
      </w:r>
    </w:p>
    <w:p w:rsidR="00065A5E" w:rsidRPr="00065A5E" w:rsidRDefault="00065A5E" w:rsidP="00065A5E">
      <w:pPr>
        <w:pStyle w:val="NoSpacing"/>
        <w:rPr>
          <w:lang w:val="en-GB"/>
        </w:rPr>
      </w:pPr>
      <w:r w:rsidRPr="00065A5E">
        <w:rPr>
          <w:lang w:val="en-GB"/>
        </w:rPr>
        <w:t>Darlinghurst NSW 1300</w:t>
      </w:r>
    </w:p>
    <w:p w:rsidR="00065A5E" w:rsidRPr="00065A5E" w:rsidRDefault="00065A5E" w:rsidP="00065A5E">
      <w:pPr>
        <w:pStyle w:val="NoSpacing"/>
        <w:rPr>
          <w:lang w:val="en-GB"/>
        </w:rPr>
      </w:pPr>
      <w:r w:rsidRPr="00065A5E">
        <w:rPr>
          <w:lang w:val="en-GB"/>
        </w:rPr>
        <w:t xml:space="preserve">Email: FOI_IHPA@ihpa.gov.au </w:t>
      </w:r>
    </w:p>
    <w:p w:rsidR="00065A5E" w:rsidRPr="00065A5E" w:rsidRDefault="00065A5E" w:rsidP="00065A5E">
      <w:pPr>
        <w:pStyle w:val="NoSpacing"/>
        <w:rPr>
          <w:lang w:val="en-GB"/>
        </w:rPr>
      </w:pPr>
      <w:r w:rsidRPr="00065A5E">
        <w:rPr>
          <w:lang w:val="en-GB"/>
        </w:rPr>
        <w:t>Phone: (02) 8215 1100</w:t>
      </w:r>
    </w:p>
    <w:p w:rsidR="00065A5E" w:rsidRPr="00065A5E" w:rsidRDefault="00065A5E" w:rsidP="00065A5E">
      <w:pPr>
        <w:pStyle w:val="NoSpacing"/>
        <w:rPr>
          <w:lang w:val="en-GB"/>
        </w:rPr>
      </w:pPr>
      <w:r w:rsidRPr="00065A5E">
        <w:rPr>
          <w:lang w:val="en-GB"/>
        </w:rPr>
        <w:t>Fax: (02) 8215 1111</w:t>
      </w:r>
    </w:p>
    <w:p w:rsidR="00065A5E" w:rsidRDefault="00065A5E" w:rsidP="00065A5E">
      <w:pPr>
        <w:rPr>
          <w:b/>
          <w:bCs/>
          <w:lang w:val="en-GB"/>
        </w:rPr>
      </w:pPr>
      <w:r>
        <w:rPr>
          <w:b/>
          <w:bCs/>
          <w:lang w:val="en-GB"/>
        </w:rPr>
        <w:br w:type="page"/>
      </w:r>
    </w:p>
    <w:p w:rsidR="00065A5E" w:rsidRPr="00065A5E" w:rsidRDefault="00065A5E" w:rsidP="00FC6134">
      <w:pPr>
        <w:pStyle w:val="AppendixH1"/>
        <w:rPr>
          <w:lang w:val="en-GB"/>
        </w:rPr>
      </w:pPr>
      <w:r w:rsidRPr="00065A5E">
        <w:rPr>
          <w:lang w:val="en-GB"/>
        </w:rPr>
        <w:t xml:space="preserve">Ecologically sustainable development and environmental performance </w:t>
      </w:r>
    </w:p>
    <w:p w:rsidR="00065A5E" w:rsidRPr="00065A5E" w:rsidRDefault="00065A5E" w:rsidP="00065A5E">
      <w:pPr>
        <w:rPr>
          <w:lang w:val="en-GB"/>
        </w:rPr>
      </w:pPr>
      <w:r w:rsidRPr="00065A5E">
        <w:rPr>
          <w:lang w:val="en-GB"/>
        </w:rPr>
        <w:t xml:space="preserve">S. 516A of the </w:t>
      </w:r>
      <w:r w:rsidRPr="00065A5E">
        <w:rPr>
          <w:i/>
          <w:iCs/>
          <w:lang w:val="en-GB"/>
        </w:rPr>
        <w:t>Environment Protection and Biodiversity Conservation Act 1999</w:t>
      </w:r>
      <w:r w:rsidRPr="00065A5E">
        <w:rPr>
          <w:lang w:val="en-GB"/>
        </w:rPr>
        <w:t xml:space="preserve"> requires Australian Government organisations to detail their environmental performance and contribution to ecologically sustainable development in their annual reports.</w:t>
      </w:r>
    </w:p>
    <w:p w:rsidR="00065A5E" w:rsidRPr="00065A5E" w:rsidRDefault="00065A5E" w:rsidP="00065A5E">
      <w:pPr>
        <w:rPr>
          <w:lang w:val="en-GB"/>
        </w:rPr>
      </w:pPr>
      <w:r w:rsidRPr="00065A5E">
        <w:rPr>
          <w:lang w:val="en-GB"/>
        </w:rPr>
        <w:t>We are committed to the principles of sustainable development and recognise our responsibility to the Australian Government and the wider community to make a contribution to minimise the impact of our operations on the environment.</w:t>
      </w:r>
    </w:p>
    <w:p w:rsidR="00065A5E" w:rsidRPr="00065A5E" w:rsidRDefault="00065A5E" w:rsidP="00065A5E">
      <w:pPr>
        <w:rPr>
          <w:lang w:val="en-GB"/>
        </w:rPr>
      </w:pPr>
      <w:r w:rsidRPr="00065A5E">
        <w:rPr>
          <w:lang w:val="en-GB"/>
        </w:rPr>
        <w:t xml:space="preserve">IHPA has a range of efficiency measures in place to reduce its environmental impact and ensure efficient use of resources, effective waste management and pollution prevention. </w:t>
      </w:r>
    </w:p>
    <w:p w:rsidR="00065A5E" w:rsidRPr="00065A5E" w:rsidRDefault="00065A5E" w:rsidP="00065A5E">
      <w:pPr>
        <w:rPr>
          <w:lang w:val="en-GB"/>
        </w:rPr>
      </w:pPr>
      <w:r w:rsidRPr="00065A5E">
        <w:rPr>
          <w:lang w:val="en-GB"/>
        </w:rPr>
        <w:t xml:space="preserve">These include: </w:t>
      </w:r>
    </w:p>
    <w:p w:rsidR="00065A5E" w:rsidRPr="00065A5E" w:rsidRDefault="00065A5E" w:rsidP="00065A5E">
      <w:pPr>
        <w:pStyle w:val="ListBullet"/>
        <w:rPr>
          <w:lang w:val="en-GB"/>
        </w:rPr>
      </w:pPr>
      <w:r w:rsidRPr="00065A5E">
        <w:rPr>
          <w:lang w:val="en-GB"/>
        </w:rPr>
        <w:t>Use of electronic meeting papers through tablet devices.</w:t>
      </w:r>
    </w:p>
    <w:p w:rsidR="00065A5E" w:rsidRPr="00065A5E" w:rsidRDefault="00065A5E" w:rsidP="00065A5E">
      <w:pPr>
        <w:pStyle w:val="ListBullet"/>
        <w:rPr>
          <w:lang w:val="en-GB"/>
        </w:rPr>
      </w:pPr>
      <w:r w:rsidRPr="00065A5E">
        <w:rPr>
          <w:lang w:val="en-GB"/>
        </w:rPr>
        <w:t>Recycling paper, cardboard and printer cartridges.</w:t>
      </w:r>
    </w:p>
    <w:p w:rsidR="00065A5E" w:rsidRPr="00065A5E" w:rsidRDefault="00065A5E" w:rsidP="00065A5E">
      <w:pPr>
        <w:pStyle w:val="ListBullet"/>
        <w:rPr>
          <w:lang w:val="en-GB"/>
        </w:rPr>
      </w:pPr>
      <w:r w:rsidRPr="00065A5E">
        <w:rPr>
          <w:lang w:val="en-GB"/>
        </w:rPr>
        <w:t>Ensuring equipment such as desktop computers, photocopiers, dishwashers and printers incorporate energy saving features.</w:t>
      </w:r>
    </w:p>
    <w:p w:rsidR="00065A5E" w:rsidRPr="00065A5E" w:rsidRDefault="00065A5E" w:rsidP="00065A5E">
      <w:pPr>
        <w:pStyle w:val="ListBullet"/>
        <w:rPr>
          <w:lang w:val="en-GB"/>
        </w:rPr>
      </w:pPr>
      <w:r w:rsidRPr="00065A5E">
        <w:rPr>
          <w:lang w:val="en-GB"/>
        </w:rPr>
        <w:t>Installing sensors to allow automatic turn-off of lighting in rooms not occupied.</w:t>
      </w:r>
    </w:p>
    <w:p w:rsidR="00065A5E" w:rsidRPr="00065A5E" w:rsidRDefault="00065A5E" w:rsidP="00065A5E">
      <w:pPr>
        <w:pStyle w:val="ListBullet"/>
        <w:rPr>
          <w:lang w:val="en-GB"/>
        </w:rPr>
      </w:pPr>
      <w:r w:rsidRPr="00065A5E">
        <w:rPr>
          <w:lang w:val="en-GB"/>
        </w:rPr>
        <w:t>Providing facilities to allow staff to recycle a range of kitchen and general waste.</w:t>
      </w:r>
    </w:p>
    <w:p w:rsidR="00065A5E" w:rsidRPr="00065A5E" w:rsidRDefault="00065A5E" w:rsidP="00065A5E">
      <w:pPr>
        <w:pStyle w:val="ListBullet"/>
        <w:rPr>
          <w:lang w:val="en-GB"/>
        </w:rPr>
      </w:pPr>
      <w:r w:rsidRPr="00065A5E">
        <w:rPr>
          <w:lang w:val="en-GB"/>
        </w:rPr>
        <w:t>Using teleconferences and video conferences wherever possible to cut down on travel and minimise our carbon footprint.</w:t>
      </w:r>
    </w:p>
    <w:p w:rsidR="00065A5E" w:rsidRPr="00065A5E" w:rsidRDefault="00065A5E" w:rsidP="00065A5E">
      <w:pPr>
        <w:pStyle w:val="ListBullet"/>
        <w:rPr>
          <w:lang w:val="en-GB"/>
        </w:rPr>
      </w:pPr>
      <w:r w:rsidRPr="00065A5E">
        <w:rPr>
          <w:lang w:val="en-GB"/>
        </w:rPr>
        <w:t>Using flexible working locations and home-based work where appropriate</w:t>
      </w:r>
    </w:p>
    <w:p w:rsidR="00065A5E" w:rsidRPr="00065A5E" w:rsidRDefault="00065A5E" w:rsidP="00065A5E">
      <w:pPr>
        <w:pStyle w:val="ListBullet"/>
        <w:rPr>
          <w:lang w:val="en-GB"/>
        </w:rPr>
      </w:pPr>
      <w:r w:rsidRPr="00065A5E">
        <w:rPr>
          <w:lang w:val="en-GB"/>
        </w:rPr>
        <w:t>Using 100% recycled paper</w:t>
      </w:r>
    </w:p>
    <w:p w:rsidR="00065A5E" w:rsidRPr="00065A5E" w:rsidRDefault="00065A5E" w:rsidP="00065A5E">
      <w:pPr>
        <w:pStyle w:val="ListBullet"/>
        <w:rPr>
          <w:lang w:val="en-GB"/>
        </w:rPr>
      </w:pPr>
      <w:r w:rsidRPr="00065A5E">
        <w:rPr>
          <w:lang w:val="en-GB"/>
        </w:rPr>
        <w:t xml:space="preserve">Minimising the creation of paper records by promoting the use of our electronic document records management system TRIM. </w:t>
      </w:r>
    </w:p>
    <w:p w:rsidR="00065A5E" w:rsidRPr="00065A5E" w:rsidRDefault="00065A5E" w:rsidP="00065A5E">
      <w:pPr>
        <w:rPr>
          <w:lang w:val="en-GB"/>
        </w:rPr>
      </w:pPr>
      <w:r w:rsidRPr="00065A5E">
        <w:rPr>
          <w:lang w:val="en-GB"/>
        </w:rPr>
        <w:t xml:space="preserve">IHPA will continue to develop and implement business solutions that are efficient, effective and environmentally sound. </w:t>
      </w:r>
    </w:p>
    <w:p w:rsidR="00065A5E" w:rsidRDefault="00065A5E" w:rsidP="00065A5E">
      <w:pPr>
        <w:pStyle w:val="Heading3"/>
        <w:rPr>
          <w:lang w:val="en-GB"/>
        </w:rPr>
      </w:pPr>
      <w:r>
        <w:rPr>
          <w:lang w:val="en-GB"/>
        </w:rPr>
        <w:br w:type="page"/>
      </w:r>
    </w:p>
    <w:p w:rsidR="00065A5E" w:rsidRPr="00065A5E" w:rsidRDefault="00660951" w:rsidP="00FC6134">
      <w:pPr>
        <w:pStyle w:val="AppendixH1"/>
        <w:rPr>
          <w:lang w:val="en-GB"/>
        </w:rPr>
      </w:pPr>
      <w:r>
        <w:rPr>
          <w:lang w:val="en-GB"/>
        </w:rPr>
        <w:t>Advertising and market research</w:t>
      </w:r>
    </w:p>
    <w:p w:rsidR="00065A5E" w:rsidRPr="00065A5E" w:rsidRDefault="00065A5E" w:rsidP="00065A5E">
      <w:pPr>
        <w:rPr>
          <w:lang w:val="en-GB"/>
        </w:rPr>
      </w:pPr>
      <w:r w:rsidRPr="00065A5E">
        <w:rPr>
          <w:lang w:val="en-GB"/>
        </w:rPr>
        <w:t xml:space="preserve">IHPA conducted one advertising campaign during the period 1 July 2014–30 June 2015 for the public consultations of </w:t>
      </w:r>
      <w:r w:rsidRPr="00065A5E">
        <w:rPr>
          <w:i/>
          <w:iCs/>
          <w:lang w:val="en-GB"/>
        </w:rPr>
        <w:t>Pricing Framework for Australian Public Hospital Services 2015–16</w:t>
      </w:r>
      <w:r w:rsidRPr="00065A5E">
        <w:rPr>
          <w:lang w:val="en-GB"/>
        </w:rPr>
        <w:t xml:space="preserve"> and </w:t>
      </w:r>
      <w:r w:rsidRPr="00065A5E">
        <w:rPr>
          <w:i/>
          <w:iCs/>
          <w:lang w:val="en-GB"/>
        </w:rPr>
        <w:t>Work Program 2014­–15</w:t>
      </w:r>
      <w:r w:rsidRPr="00065A5E">
        <w:rPr>
          <w:lang w:val="en-GB"/>
        </w:rPr>
        <w:t>.</w:t>
      </w:r>
    </w:p>
    <w:p w:rsidR="00065A5E" w:rsidRPr="00065A5E" w:rsidRDefault="00065A5E" w:rsidP="00065A5E">
      <w:pPr>
        <w:rPr>
          <w:lang w:val="en-GB"/>
        </w:rPr>
      </w:pPr>
      <w:r w:rsidRPr="00065A5E">
        <w:rPr>
          <w:lang w:val="en-GB"/>
        </w:rPr>
        <w:t>The amount paid was:</w:t>
      </w:r>
    </w:p>
    <w:p w:rsidR="00065A5E" w:rsidRPr="00065A5E" w:rsidRDefault="00065A5E" w:rsidP="00065A5E">
      <w:pPr>
        <w:pStyle w:val="ListBullet"/>
        <w:rPr>
          <w:lang w:val="en-GB"/>
        </w:rPr>
      </w:pPr>
      <w:r w:rsidRPr="00065A5E">
        <w:rPr>
          <w:lang w:val="en-GB"/>
        </w:rPr>
        <w:t>Adcorp media placement services – $49,566.89 (GST inclusive).</w:t>
      </w:r>
    </w:p>
    <w:p w:rsidR="00065A5E" w:rsidRPr="00065A5E" w:rsidRDefault="00065A5E" w:rsidP="00065A5E">
      <w:pPr>
        <w:rPr>
          <w:lang w:val="en-GB"/>
        </w:rPr>
      </w:pPr>
      <w:r w:rsidRPr="00065A5E">
        <w:rPr>
          <w:lang w:val="en-GB"/>
        </w:rPr>
        <w:t xml:space="preserve">Further information is available in the reports on Australian Government advertising prepared by the Department of Finance. Those reports are available at </w:t>
      </w:r>
      <w:hyperlink r:id="rId46" w:history="1">
        <w:r w:rsidRPr="00065A5E">
          <w:rPr>
            <w:rStyle w:val="Hyperlink"/>
            <w:lang w:val="en-GB"/>
          </w:rPr>
          <w:t>www.finance.gov.au/advertising/index.html</w:t>
        </w:r>
      </w:hyperlink>
      <w:r w:rsidRPr="00065A5E">
        <w:rPr>
          <w:lang w:val="en-GB"/>
        </w:rPr>
        <w:t xml:space="preserve"> </w:t>
      </w:r>
    </w:p>
    <w:p w:rsidR="00065A5E" w:rsidRPr="00065A5E" w:rsidRDefault="00065A5E" w:rsidP="00FC6134">
      <w:pPr>
        <w:pStyle w:val="AppendixH1"/>
        <w:spacing w:before="880"/>
        <w:rPr>
          <w:lang w:val="en-GB"/>
        </w:rPr>
      </w:pPr>
      <w:r w:rsidRPr="00065A5E">
        <w:rPr>
          <w:lang w:val="en-GB"/>
        </w:rPr>
        <w:t xml:space="preserve">Grant programs </w:t>
      </w:r>
    </w:p>
    <w:p w:rsidR="00065A5E" w:rsidRDefault="00065A5E" w:rsidP="00065A5E">
      <w:pPr>
        <w:rPr>
          <w:lang w:val="en-GB"/>
        </w:rPr>
      </w:pPr>
      <w:r w:rsidRPr="00065A5E">
        <w:rPr>
          <w:lang w:val="en-GB"/>
        </w:rPr>
        <w:t>IHPA did not administer any grant programs during the period 1 July 2014 – 30 June 2015.</w:t>
      </w:r>
    </w:p>
    <w:p w:rsidR="00065A5E" w:rsidRPr="00065A5E" w:rsidRDefault="00065A5E" w:rsidP="00FC6134">
      <w:pPr>
        <w:pStyle w:val="AppendixH1"/>
        <w:spacing w:before="880"/>
        <w:rPr>
          <w:lang w:val="en-GB"/>
        </w:rPr>
      </w:pPr>
      <w:r w:rsidRPr="00065A5E">
        <w:rPr>
          <w:lang w:val="en-GB"/>
        </w:rPr>
        <w:t xml:space="preserve">Legal services expenditure </w:t>
      </w:r>
    </w:p>
    <w:p w:rsidR="00065A5E" w:rsidRDefault="00065A5E" w:rsidP="00065A5E">
      <w:pPr>
        <w:rPr>
          <w:lang w:val="en-GB"/>
        </w:rPr>
      </w:pPr>
      <w:r w:rsidRPr="00065A5E">
        <w:rPr>
          <w:lang w:val="en-GB"/>
        </w:rPr>
        <w:t xml:space="preserve">Details of the legal services expenditure for 2014–15 are provided in Table 12. The statement of legal expenditure is published in accordance with paragraph 11.1 (ba) of the </w:t>
      </w:r>
      <w:r w:rsidRPr="00065A5E">
        <w:rPr>
          <w:i/>
          <w:iCs/>
          <w:lang w:val="en-GB"/>
        </w:rPr>
        <w:t>Legal Services Directions 2005</w:t>
      </w:r>
      <w:r w:rsidRPr="00065A5E">
        <w:rPr>
          <w:lang w:val="en-GB"/>
        </w:rPr>
        <w:t>.</w:t>
      </w:r>
    </w:p>
    <w:p w:rsidR="00065A5E" w:rsidRDefault="00032B77" w:rsidP="00032B77">
      <w:pPr>
        <w:pStyle w:val="TableHeading"/>
        <w:rPr>
          <w:lang w:val="en-GB"/>
        </w:rPr>
      </w:pPr>
      <w:r w:rsidRPr="00032B77">
        <w:rPr>
          <w:lang w:val="en-GB"/>
        </w:rPr>
        <w:t>Table 12: Legal services expenditure 2014–15</w:t>
      </w:r>
    </w:p>
    <w:tbl>
      <w:tblPr>
        <w:tblStyle w:val="DefaultTable"/>
        <w:tblW w:w="0" w:type="auto"/>
        <w:tblLayout w:type="fixed"/>
        <w:tblLook w:val="0020" w:firstRow="1" w:lastRow="0" w:firstColumn="0" w:lastColumn="0" w:noHBand="0" w:noVBand="0"/>
        <w:tblDescription w:val="Legal services expenditure 2014–15"/>
      </w:tblPr>
      <w:tblGrid>
        <w:gridCol w:w="4678"/>
        <w:gridCol w:w="2993"/>
      </w:tblGrid>
      <w:tr w:rsidR="00032B77" w:rsidRPr="00032B77" w:rsidTr="00032B77">
        <w:trPr>
          <w:cnfStyle w:val="100000000000" w:firstRow="1" w:lastRow="0" w:firstColumn="0" w:lastColumn="0" w:oddVBand="0" w:evenVBand="0" w:oddHBand="0" w:evenHBand="0" w:firstRowFirstColumn="0" w:firstRowLastColumn="0" w:lastRowFirstColumn="0" w:lastRowLastColumn="0"/>
          <w:trHeight w:val="340"/>
        </w:trPr>
        <w:tc>
          <w:tcPr>
            <w:tcW w:w="4678" w:type="dxa"/>
          </w:tcPr>
          <w:p w:rsidR="00032B77" w:rsidRPr="00032B77" w:rsidRDefault="00032B77" w:rsidP="00032B77">
            <w:pPr>
              <w:pStyle w:val="TableText"/>
            </w:pPr>
            <w:r w:rsidRPr="00032B77">
              <w:t>Legal Service</w:t>
            </w:r>
          </w:p>
        </w:tc>
        <w:tc>
          <w:tcPr>
            <w:tcW w:w="2993" w:type="dxa"/>
          </w:tcPr>
          <w:p w:rsidR="00032B77" w:rsidRPr="00032B77" w:rsidRDefault="00032B77" w:rsidP="00032B77">
            <w:pPr>
              <w:pStyle w:val="TableText"/>
              <w:jc w:val="right"/>
            </w:pPr>
            <w:r w:rsidRPr="00032B77">
              <w:t>Expenditure (Incl. GST)</w:t>
            </w:r>
          </w:p>
        </w:tc>
      </w:tr>
      <w:tr w:rsidR="00032B77" w:rsidRPr="00032B77" w:rsidTr="00032B77">
        <w:trPr>
          <w:cnfStyle w:val="000000100000" w:firstRow="0" w:lastRow="0" w:firstColumn="0" w:lastColumn="0" w:oddVBand="0" w:evenVBand="0" w:oddHBand="1" w:evenHBand="0" w:firstRowFirstColumn="0" w:firstRowLastColumn="0" w:lastRowFirstColumn="0" w:lastRowLastColumn="0"/>
          <w:trHeight w:val="340"/>
        </w:trPr>
        <w:tc>
          <w:tcPr>
            <w:tcW w:w="4678" w:type="dxa"/>
          </w:tcPr>
          <w:p w:rsidR="00032B77" w:rsidRPr="00032B77" w:rsidRDefault="00032B77" w:rsidP="00032B77">
            <w:pPr>
              <w:pStyle w:val="TableText"/>
            </w:pPr>
            <w:r w:rsidRPr="00032B77">
              <w:t>Total external legal services expenditure</w:t>
            </w:r>
          </w:p>
        </w:tc>
        <w:tc>
          <w:tcPr>
            <w:tcW w:w="2993" w:type="dxa"/>
          </w:tcPr>
          <w:p w:rsidR="00032B77" w:rsidRPr="00032B77" w:rsidRDefault="00032B77" w:rsidP="00032B77">
            <w:pPr>
              <w:pStyle w:val="TableText"/>
              <w:jc w:val="right"/>
            </w:pPr>
            <w:r w:rsidRPr="00032B77">
              <w:t>$79,766.19</w:t>
            </w:r>
          </w:p>
        </w:tc>
      </w:tr>
      <w:tr w:rsidR="00032B77" w:rsidRPr="00032B77" w:rsidTr="00032B77">
        <w:trPr>
          <w:trHeight w:val="340"/>
        </w:trPr>
        <w:tc>
          <w:tcPr>
            <w:tcW w:w="4678" w:type="dxa"/>
          </w:tcPr>
          <w:p w:rsidR="00032B77" w:rsidRPr="00032B77" w:rsidRDefault="00032B77" w:rsidP="00032B77">
            <w:pPr>
              <w:pStyle w:val="TableText"/>
            </w:pPr>
            <w:r w:rsidRPr="00032B77">
              <w:t>External expenditure on solicitors</w:t>
            </w:r>
          </w:p>
        </w:tc>
        <w:tc>
          <w:tcPr>
            <w:tcW w:w="2993" w:type="dxa"/>
          </w:tcPr>
          <w:p w:rsidR="00032B77" w:rsidRPr="00032B77" w:rsidRDefault="00032B77" w:rsidP="00032B77">
            <w:pPr>
              <w:pStyle w:val="TableText"/>
              <w:jc w:val="right"/>
            </w:pPr>
            <w:r w:rsidRPr="00032B77">
              <w:t>$0.00</w:t>
            </w:r>
          </w:p>
        </w:tc>
      </w:tr>
      <w:tr w:rsidR="00032B77" w:rsidRPr="00032B77" w:rsidTr="00032B77">
        <w:trPr>
          <w:cnfStyle w:val="000000100000" w:firstRow="0" w:lastRow="0" w:firstColumn="0" w:lastColumn="0" w:oddVBand="0" w:evenVBand="0" w:oddHBand="1" w:evenHBand="0" w:firstRowFirstColumn="0" w:firstRowLastColumn="0" w:lastRowFirstColumn="0" w:lastRowLastColumn="0"/>
          <w:trHeight w:val="340"/>
        </w:trPr>
        <w:tc>
          <w:tcPr>
            <w:tcW w:w="4678" w:type="dxa"/>
          </w:tcPr>
          <w:p w:rsidR="00032B77" w:rsidRPr="00032B77" w:rsidRDefault="00032B77" w:rsidP="00032B77">
            <w:pPr>
              <w:pStyle w:val="TableText"/>
            </w:pPr>
            <w:r w:rsidRPr="00032B77">
              <w:t>External expenditure on counsel</w:t>
            </w:r>
          </w:p>
        </w:tc>
        <w:tc>
          <w:tcPr>
            <w:tcW w:w="2993" w:type="dxa"/>
          </w:tcPr>
          <w:p w:rsidR="00032B77" w:rsidRPr="00032B77" w:rsidRDefault="00032B77" w:rsidP="00032B77">
            <w:pPr>
              <w:pStyle w:val="TableText"/>
              <w:jc w:val="right"/>
            </w:pPr>
            <w:r w:rsidRPr="00032B77">
              <w:t>$0.00</w:t>
            </w:r>
          </w:p>
        </w:tc>
      </w:tr>
      <w:tr w:rsidR="00032B77" w:rsidRPr="00032B77" w:rsidTr="00032B77">
        <w:trPr>
          <w:trHeight w:val="340"/>
        </w:trPr>
        <w:tc>
          <w:tcPr>
            <w:tcW w:w="4678" w:type="dxa"/>
          </w:tcPr>
          <w:p w:rsidR="00032B77" w:rsidRPr="00032B77" w:rsidRDefault="00032B77" w:rsidP="00032B77">
            <w:pPr>
              <w:pStyle w:val="TableText"/>
            </w:pPr>
            <w:r w:rsidRPr="00032B77">
              <w:t>Other disbursements on external legal services</w:t>
            </w:r>
          </w:p>
        </w:tc>
        <w:tc>
          <w:tcPr>
            <w:tcW w:w="2993" w:type="dxa"/>
          </w:tcPr>
          <w:p w:rsidR="00032B77" w:rsidRPr="00032B77" w:rsidRDefault="00032B77" w:rsidP="00032B77">
            <w:pPr>
              <w:pStyle w:val="TableText"/>
              <w:jc w:val="right"/>
            </w:pPr>
            <w:r w:rsidRPr="00032B77">
              <w:t>$0.00</w:t>
            </w:r>
          </w:p>
        </w:tc>
      </w:tr>
      <w:tr w:rsidR="00032B77" w:rsidRPr="00032B77" w:rsidTr="00032B77">
        <w:trPr>
          <w:cnfStyle w:val="000000100000" w:firstRow="0" w:lastRow="0" w:firstColumn="0" w:lastColumn="0" w:oddVBand="0" w:evenVBand="0" w:oddHBand="1" w:evenHBand="0" w:firstRowFirstColumn="0" w:firstRowLastColumn="0" w:lastRowFirstColumn="0" w:lastRowLastColumn="0"/>
          <w:trHeight w:val="340"/>
        </w:trPr>
        <w:tc>
          <w:tcPr>
            <w:tcW w:w="4678" w:type="dxa"/>
          </w:tcPr>
          <w:p w:rsidR="00032B77" w:rsidRPr="00032B77" w:rsidRDefault="00032B77" w:rsidP="00032B77">
            <w:pPr>
              <w:pStyle w:val="TableText"/>
            </w:pPr>
            <w:r w:rsidRPr="00032B77">
              <w:t>Total internal legal services expenditure</w:t>
            </w:r>
          </w:p>
        </w:tc>
        <w:tc>
          <w:tcPr>
            <w:tcW w:w="2993" w:type="dxa"/>
          </w:tcPr>
          <w:p w:rsidR="00032B77" w:rsidRPr="00032B77" w:rsidRDefault="00032B77" w:rsidP="00032B77">
            <w:pPr>
              <w:pStyle w:val="TableText"/>
              <w:jc w:val="right"/>
            </w:pPr>
            <w:r w:rsidRPr="00032B77">
              <w:t>$0.00</w:t>
            </w:r>
          </w:p>
        </w:tc>
      </w:tr>
      <w:tr w:rsidR="00032B77" w:rsidRPr="00032B77" w:rsidTr="00032B77">
        <w:trPr>
          <w:trHeight w:val="340"/>
        </w:trPr>
        <w:tc>
          <w:tcPr>
            <w:tcW w:w="4678" w:type="dxa"/>
          </w:tcPr>
          <w:p w:rsidR="00032B77" w:rsidRPr="00032B77" w:rsidRDefault="00032B77" w:rsidP="00032B77">
            <w:pPr>
              <w:pStyle w:val="TableText"/>
            </w:pPr>
            <w:r w:rsidRPr="00032B77">
              <w:t>Total legal services expenditure</w:t>
            </w:r>
          </w:p>
        </w:tc>
        <w:tc>
          <w:tcPr>
            <w:tcW w:w="2993" w:type="dxa"/>
          </w:tcPr>
          <w:p w:rsidR="00032B77" w:rsidRPr="00032B77" w:rsidRDefault="00032B77" w:rsidP="00032B77">
            <w:pPr>
              <w:pStyle w:val="TableText"/>
              <w:jc w:val="right"/>
            </w:pPr>
            <w:r w:rsidRPr="00032B77">
              <w:t>$79,766.19</w:t>
            </w:r>
          </w:p>
        </w:tc>
      </w:tr>
    </w:tbl>
    <w:p w:rsidR="00032B77" w:rsidRPr="00065A5E" w:rsidRDefault="00032B77" w:rsidP="00065A5E">
      <w:pPr>
        <w:rPr>
          <w:lang w:val="en-GB"/>
        </w:rPr>
      </w:pPr>
    </w:p>
    <w:p w:rsidR="001B60D4" w:rsidRDefault="00065A5E" w:rsidP="00065A5E">
      <w:r w:rsidRPr="00065A5E">
        <w:t xml:space="preserve"> </w:t>
      </w:r>
      <w:r w:rsidR="001B60D4">
        <w:br w:type="page"/>
      </w:r>
    </w:p>
    <w:p w:rsidR="001B60D4" w:rsidRDefault="001B60D4" w:rsidP="001B60D4">
      <w:pPr>
        <w:pStyle w:val="Heading1"/>
      </w:pPr>
      <w:bookmarkStart w:id="47" w:name="_Toc432437401"/>
      <w:r w:rsidRPr="001B60D4">
        <w:rPr>
          <w:caps w:val="0"/>
          <w:color w:val="FFFFFF" w:themeColor="background1"/>
          <w:sz w:val="32"/>
          <w:szCs w:val="32"/>
        </w:rPr>
        <w:t>Appendix B</w:t>
      </w:r>
      <w:r>
        <w:rPr>
          <w:color w:val="FFFFFF" w:themeColor="background1"/>
        </w:rPr>
        <w:br/>
        <w:t>Resource</w:t>
      </w:r>
      <w:r>
        <w:rPr>
          <w:color w:val="FFFFFF" w:themeColor="background1"/>
        </w:rPr>
        <w:br/>
      </w:r>
      <w:r w:rsidRPr="001B60D4">
        <w:rPr>
          <w:color w:val="FFFFFF" w:themeColor="background1"/>
        </w:rPr>
        <w:t>Statement</w:t>
      </w:r>
      <w:r>
        <w:rPr>
          <w:color w:val="FFFFFF" w:themeColor="background1"/>
        </w:rPr>
        <w:br/>
        <w:t>and Expenses</w:t>
      </w:r>
      <w:r>
        <w:rPr>
          <w:color w:val="FFFFFF" w:themeColor="background1"/>
        </w:rPr>
        <w:br/>
      </w:r>
      <w:r w:rsidRPr="001B60D4">
        <w:rPr>
          <w:color w:val="FFFFFF" w:themeColor="background1"/>
        </w:rPr>
        <w:t>by Outcome</w:t>
      </w:r>
      <w:r w:rsidRPr="004225DC">
        <w:rPr>
          <w:noProof/>
          <w:color w:val="FFFFFF" w:themeColor="background1"/>
        </w:rPr>
        <w:drawing>
          <wp:anchor distT="0" distB="0" distL="114300" distR="114300" simplePos="0" relativeHeight="251659264" behindDoc="1" locked="0" layoutInCell="0" allowOverlap="1" wp14:anchorId="7224DECD" wp14:editId="0B8460C7">
            <wp:simplePos x="0" y="0"/>
            <wp:positionH relativeFrom="page">
              <wp:align>left</wp:align>
            </wp:positionH>
            <wp:positionV relativeFrom="page">
              <wp:align>top</wp:align>
            </wp:positionV>
            <wp:extent cx="7560000" cy="10692000"/>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47"/>
      <w:r>
        <w:br w:type="page"/>
      </w:r>
    </w:p>
    <w:p w:rsidR="005B1D82" w:rsidRDefault="005B1D82" w:rsidP="00FC6134">
      <w:pPr>
        <w:pStyle w:val="AppendixH1"/>
      </w:pPr>
      <w:r>
        <w:t xml:space="preserve">Resource </w:t>
      </w:r>
      <w:r w:rsidRPr="001B60D4">
        <w:t>Statement</w:t>
      </w:r>
      <w:r>
        <w:br/>
        <w:t xml:space="preserve">and Expenses </w:t>
      </w:r>
      <w:r w:rsidRPr="001B60D4">
        <w:t>by Outcome</w:t>
      </w:r>
    </w:p>
    <w:p w:rsidR="00032B77" w:rsidRPr="00032B77" w:rsidRDefault="005B1D82" w:rsidP="00FC6134">
      <w:pPr>
        <w:pStyle w:val="AppendixH2"/>
      </w:pPr>
      <w:r>
        <w:t>IHPA Resource Statement 2014-15</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IHPA RESOURCE STATEMENT 2014–15"/>
      </w:tblPr>
      <w:tblGrid>
        <w:gridCol w:w="3118"/>
        <w:gridCol w:w="1702"/>
        <w:gridCol w:w="1445"/>
        <w:gridCol w:w="1445"/>
      </w:tblGrid>
      <w:tr w:rsidR="00032B77" w:rsidRPr="00032B77" w:rsidTr="00B1156A">
        <w:trPr>
          <w:cnfStyle w:val="100000000000" w:firstRow="1" w:lastRow="0" w:firstColumn="0" w:lastColumn="0" w:oddVBand="0" w:evenVBand="0" w:oddHBand="0" w:evenHBand="0" w:firstRowFirstColumn="0" w:firstRowLastColumn="0" w:lastRowFirstColumn="0" w:lastRowLastColumn="0"/>
          <w:trHeight w:val="60"/>
        </w:trPr>
        <w:tc>
          <w:tcPr>
            <w:tcW w:w="3118" w:type="dxa"/>
          </w:tcPr>
          <w:p w:rsidR="00032B77" w:rsidRPr="00032B77" w:rsidRDefault="00032B77" w:rsidP="00032B77">
            <w:pPr>
              <w:pStyle w:val="TableText"/>
            </w:pPr>
          </w:p>
        </w:tc>
        <w:tc>
          <w:tcPr>
            <w:tcW w:w="1702" w:type="dxa"/>
          </w:tcPr>
          <w:p w:rsidR="00032B77" w:rsidRPr="00032B77" w:rsidRDefault="00032B77" w:rsidP="00032B77">
            <w:pPr>
              <w:pStyle w:val="TableText"/>
              <w:jc w:val="right"/>
              <w:rPr>
                <w:bCs/>
                <w:lang w:val="en-GB"/>
              </w:rPr>
            </w:pPr>
            <w:r w:rsidRPr="00032B77">
              <w:rPr>
                <w:bCs/>
                <w:lang w:val="en-GB"/>
              </w:rPr>
              <w:t>Actual available appropriation for 2014–15</w:t>
            </w:r>
            <w:r>
              <w:rPr>
                <w:bCs/>
                <w:lang w:val="en-GB"/>
              </w:rPr>
              <w:br/>
            </w:r>
            <w:r w:rsidRPr="00032B77">
              <w:rPr>
                <w:b w:val="0"/>
                <w:lang w:val="en-GB"/>
              </w:rPr>
              <w:t>$’000</w:t>
            </w:r>
          </w:p>
        </w:tc>
        <w:tc>
          <w:tcPr>
            <w:tcW w:w="1445" w:type="dxa"/>
          </w:tcPr>
          <w:p w:rsidR="00032B77" w:rsidRPr="00032B77" w:rsidRDefault="00032B77" w:rsidP="00032B77">
            <w:pPr>
              <w:pStyle w:val="TableText"/>
              <w:jc w:val="right"/>
              <w:rPr>
                <w:bCs/>
                <w:lang w:val="en-GB"/>
              </w:rPr>
            </w:pPr>
            <w:r>
              <w:rPr>
                <w:bCs/>
                <w:lang w:val="en-GB"/>
              </w:rPr>
              <w:t>Payments</w:t>
            </w:r>
            <w:r>
              <w:rPr>
                <w:bCs/>
                <w:lang w:val="en-GB"/>
              </w:rPr>
              <w:br/>
              <w:t xml:space="preserve">made for </w:t>
            </w:r>
            <w:r>
              <w:rPr>
                <w:bCs/>
                <w:lang w:val="en-GB"/>
              </w:rPr>
              <w:br/>
              <w:t>2014–15</w:t>
            </w:r>
            <w:r>
              <w:rPr>
                <w:bCs/>
                <w:lang w:val="en-GB"/>
              </w:rPr>
              <w:br/>
            </w:r>
            <w:r w:rsidRPr="00032B77">
              <w:rPr>
                <w:b w:val="0"/>
                <w:lang w:val="en-GB"/>
              </w:rPr>
              <w:t>$’000</w:t>
            </w:r>
          </w:p>
        </w:tc>
        <w:tc>
          <w:tcPr>
            <w:tcW w:w="1445" w:type="dxa"/>
          </w:tcPr>
          <w:p w:rsidR="00032B77" w:rsidRPr="00032B77" w:rsidRDefault="00032B77" w:rsidP="00032B77">
            <w:pPr>
              <w:pStyle w:val="TableText"/>
              <w:jc w:val="right"/>
              <w:rPr>
                <w:bCs/>
                <w:lang w:val="en-GB"/>
              </w:rPr>
            </w:pPr>
            <w:r>
              <w:rPr>
                <w:bCs/>
                <w:lang w:val="en-GB"/>
              </w:rPr>
              <w:t>Balance</w:t>
            </w:r>
            <w:r>
              <w:rPr>
                <w:bCs/>
                <w:lang w:val="en-GB"/>
              </w:rPr>
              <w:br/>
              <w:t>remaining</w:t>
            </w:r>
            <w:r>
              <w:rPr>
                <w:bCs/>
                <w:lang w:val="en-GB"/>
              </w:rPr>
              <w:br/>
              <w:t>2014–15</w:t>
            </w:r>
            <w:r>
              <w:rPr>
                <w:bCs/>
                <w:lang w:val="en-GB"/>
              </w:rPr>
              <w:br/>
            </w:r>
            <w:r w:rsidRPr="00032B77">
              <w:rPr>
                <w:b w:val="0"/>
                <w:lang w:val="en-GB"/>
              </w:rPr>
              <w:t>$’000</w:t>
            </w:r>
          </w:p>
        </w:tc>
      </w:tr>
      <w:tr w:rsidR="00032B77" w:rsidRPr="00032B77" w:rsidTr="00B1156A">
        <w:trPr>
          <w:trHeight w:val="60"/>
        </w:trPr>
        <w:tc>
          <w:tcPr>
            <w:tcW w:w="3118" w:type="dxa"/>
          </w:tcPr>
          <w:p w:rsidR="00032B77" w:rsidRPr="00032B77" w:rsidRDefault="00032B77" w:rsidP="00B1156A">
            <w:pPr>
              <w:pStyle w:val="FinancialsTableH2"/>
              <w:rPr>
                <w:lang w:val="en-GB"/>
              </w:rPr>
            </w:pPr>
            <w:r w:rsidRPr="00032B77">
              <w:rPr>
                <w:lang w:val="en-GB"/>
              </w:rPr>
              <w:t>Ordinary annual services</w:t>
            </w:r>
          </w:p>
        </w:tc>
        <w:tc>
          <w:tcPr>
            <w:tcW w:w="1702" w:type="dxa"/>
          </w:tcPr>
          <w:p w:rsidR="00032B77" w:rsidRPr="00032B77" w:rsidRDefault="00032B77" w:rsidP="00032B77">
            <w:pPr>
              <w:pStyle w:val="TableText"/>
              <w:jc w:val="right"/>
            </w:pPr>
          </w:p>
        </w:tc>
        <w:tc>
          <w:tcPr>
            <w:tcW w:w="1445" w:type="dxa"/>
          </w:tcPr>
          <w:p w:rsidR="00032B77" w:rsidRPr="00032B77" w:rsidRDefault="00032B77" w:rsidP="00032B77">
            <w:pPr>
              <w:pStyle w:val="TableText"/>
              <w:jc w:val="right"/>
            </w:pPr>
          </w:p>
        </w:tc>
        <w:tc>
          <w:tcPr>
            <w:tcW w:w="1445" w:type="dxa"/>
          </w:tcPr>
          <w:p w:rsidR="00032B77" w:rsidRPr="00032B77" w:rsidRDefault="00032B77" w:rsidP="00032B77">
            <w:pPr>
              <w:pStyle w:val="TableText"/>
              <w:jc w:val="right"/>
            </w:pPr>
          </w:p>
        </w:tc>
      </w:tr>
      <w:tr w:rsidR="00032B77" w:rsidRPr="00032B77" w:rsidTr="00B1156A">
        <w:trPr>
          <w:trHeight w:val="60"/>
        </w:trPr>
        <w:tc>
          <w:tcPr>
            <w:tcW w:w="3118" w:type="dxa"/>
          </w:tcPr>
          <w:p w:rsidR="00032B77" w:rsidRPr="00032B77" w:rsidRDefault="00032B77" w:rsidP="00032B77">
            <w:pPr>
              <w:pStyle w:val="TableText"/>
              <w:rPr>
                <w:lang w:val="en-GB"/>
              </w:rPr>
            </w:pPr>
            <w:r w:rsidRPr="00032B77">
              <w:rPr>
                <w:lang w:val="en-GB"/>
              </w:rPr>
              <w:t>Departmental Appropriation</w:t>
            </w:r>
            <w:r w:rsidRPr="00032B77">
              <w:rPr>
                <w:vertAlign w:val="superscript"/>
                <w:lang w:val="en-GB"/>
              </w:rPr>
              <w:t>1</w:t>
            </w:r>
          </w:p>
        </w:tc>
        <w:tc>
          <w:tcPr>
            <w:tcW w:w="1702" w:type="dxa"/>
          </w:tcPr>
          <w:p w:rsidR="00032B77" w:rsidRPr="00032B77" w:rsidRDefault="00032B77" w:rsidP="00032B77">
            <w:pPr>
              <w:pStyle w:val="TableText"/>
              <w:jc w:val="right"/>
              <w:rPr>
                <w:lang w:val="en-GB"/>
              </w:rPr>
            </w:pPr>
            <w:r w:rsidRPr="00032B77">
              <w:rPr>
                <w:lang w:val="en-GB"/>
              </w:rPr>
              <w:t xml:space="preserve"> 45,987 </w:t>
            </w:r>
          </w:p>
        </w:tc>
        <w:tc>
          <w:tcPr>
            <w:tcW w:w="1445" w:type="dxa"/>
          </w:tcPr>
          <w:p w:rsidR="00032B77" w:rsidRPr="00032B77" w:rsidRDefault="00032B77" w:rsidP="00032B77">
            <w:pPr>
              <w:pStyle w:val="TableText"/>
              <w:jc w:val="right"/>
              <w:rPr>
                <w:lang w:val="en-GB"/>
              </w:rPr>
            </w:pPr>
            <w:r w:rsidRPr="00032B77">
              <w:rPr>
                <w:lang w:val="en-GB"/>
              </w:rPr>
              <w:t xml:space="preserve"> 22,829 </w:t>
            </w:r>
          </w:p>
        </w:tc>
        <w:tc>
          <w:tcPr>
            <w:tcW w:w="1445" w:type="dxa"/>
          </w:tcPr>
          <w:p w:rsidR="00032B77" w:rsidRPr="00032B77" w:rsidRDefault="00032B77" w:rsidP="00032B77">
            <w:pPr>
              <w:pStyle w:val="TableText"/>
              <w:jc w:val="right"/>
              <w:rPr>
                <w:lang w:val="en-GB"/>
              </w:rPr>
            </w:pPr>
            <w:r w:rsidRPr="00032B77">
              <w:rPr>
                <w:lang w:val="en-GB"/>
              </w:rPr>
              <w:t xml:space="preserve"> 23,158 </w:t>
            </w:r>
          </w:p>
        </w:tc>
      </w:tr>
      <w:tr w:rsidR="00032B77" w:rsidRPr="00032B77" w:rsidTr="00B1156A">
        <w:trPr>
          <w:trHeight w:val="60"/>
        </w:trPr>
        <w:tc>
          <w:tcPr>
            <w:tcW w:w="3118" w:type="dxa"/>
          </w:tcPr>
          <w:p w:rsidR="00032B77" w:rsidRPr="00032B77" w:rsidRDefault="00032B77" w:rsidP="00032B77">
            <w:pPr>
              <w:pStyle w:val="TableText"/>
              <w:rPr>
                <w:b/>
                <w:bCs/>
                <w:lang w:val="en-GB"/>
              </w:rPr>
            </w:pPr>
            <w:r w:rsidRPr="00032B77">
              <w:rPr>
                <w:b/>
                <w:bCs/>
                <w:lang w:val="en-GB"/>
              </w:rPr>
              <w:t xml:space="preserve">Total net resourcing for IHPA </w:t>
            </w:r>
          </w:p>
        </w:tc>
        <w:tc>
          <w:tcPr>
            <w:tcW w:w="1702" w:type="dxa"/>
          </w:tcPr>
          <w:p w:rsidR="00032B77" w:rsidRPr="00032B77" w:rsidRDefault="00032B77" w:rsidP="00032B77">
            <w:pPr>
              <w:pStyle w:val="TableText"/>
              <w:jc w:val="right"/>
              <w:rPr>
                <w:b/>
                <w:bCs/>
                <w:lang w:val="en-GB"/>
              </w:rPr>
            </w:pPr>
            <w:r w:rsidRPr="00032B77">
              <w:rPr>
                <w:b/>
                <w:bCs/>
                <w:lang w:val="en-GB"/>
              </w:rPr>
              <w:t xml:space="preserve"> 45,987 </w:t>
            </w:r>
          </w:p>
        </w:tc>
        <w:tc>
          <w:tcPr>
            <w:tcW w:w="1445" w:type="dxa"/>
          </w:tcPr>
          <w:p w:rsidR="00032B77" w:rsidRPr="00032B77" w:rsidRDefault="00032B77" w:rsidP="00032B77">
            <w:pPr>
              <w:pStyle w:val="TableText"/>
              <w:jc w:val="right"/>
              <w:rPr>
                <w:b/>
                <w:bCs/>
                <w:lang w:val="en-GB"/>
              </w:rPr>
            </w:pPr>
            <w:r w:rsidRPr="00032B77">
              <w:rPr>
                <w:b/>
                <w:bCs/>
                <w:lang w:val="en-GB"/>
              </w:rPr>
              <w:t xml:space="preserve"> 22,829 </w:t>
            </w:r>
          </w:p>
        </w:tc>
        <w:tc>
          <w:tcPr>
            <w:tcW w:w="1445" w:type="dxa"/>
          </w:tcPr>
          <w:p w:rsidR="00032B77" w:rsidRPr="00032B77" w:rsidRDefault="00032B77" w:rsidP="00032B77">
            <w:pPr>
              <w:pStyle w:val="TableText"/>
              <w:jc w:val="right"/>
              <w:rPr>
                <w:b/>
                <w:bCs/>
                <w:lang w:val="en-GB"/>
              </w:rPr>
            </w:pPr>
            <w:r w:rsidRPr="00032B77">
              <w:rPr>
                <w:b/>
                <w:bCs/>
                <w:lang w:val="en-GB"/>
              </w:rPr>
              <w:t xml:space="preserve"> 23,158 </w:t>
            </w:r>
          </w:p>
        </w:tc>
      </w:tr>
    </w:tbl>
    <w:p w:rsidR="00032B77" w:rsidRPr="00056004" w:rsidRDefault="00032B77" w:rsidP="00032B77">
      <w:pPr>
        <w:pStyle w:val="SourceNotesText"/>
        <w:rPr>
          <w:b/>
          <w:lang w:val="en-GB"/>
        </w:rPr>
      </w:pPr>
      <w:r w:rsidRPr="00032B77">
        <w:rPr>
          <w:b/>
          <w:lang w:val="en-GB"/>
        </w:rPr>
        <w:t>Notes</w:t>
      </w:r>
      <w:r w:rsidR="00056004">
        <w:rPr>
          <w:b/>
          <w:lang w:val="en-GB"/>
        </w:rPr>
        <w:br/>
      </w:r>
      <w:r w:rsidRPr="00032B77">
        <w:rPr>
          <w:lang w:val="en-GB"/>
        </w:rPr>
        <w:t>1. Appropriation Act (No. 1) 2014–15</w:t>
      </w:r>
      <w:r w:rsidR="00056004">
        <w:rPr>
          <w:b/>
          <w:lang w:val="en-GB"/>
        </w:rPr>
        <w:br/>
      </w:r>
      <w:r w:rsidRPr="00032B77">
        <w:rPr>
          <w:lang w:val="en-GB"/>
        </w:rPr>
        <w:t xml:space="preserve">All figures are GST exclusive. </w:t>
      </w:r>
    </w:p>
    <w:p w:rsidR="00032B77" w:rsidRPr="00032B77" w:rsidRDefault="00032B77" w:rsidP="00FC6134">
      <w:pPr>
        <w:pStyle w:val="AppendixH2"/>
        <w:rPr>
          <w:lang w:val="en-GB"/>
        </w:rPr>
      </w:pPr>
      <w:r w:rsidRPr="00032B77">
        <w:rPr>
          <w:lang w:val="en-GB"/>
        </w:rPr>
        <w:t>Expenses by Outcome</w:t>
      </w:r>
    </w:p>
    <w:tbl>
      <w:tblPr>
        <w:tblStyle w:val="DefaultTable"/>
        <w:tblW w:w="0" w:type="auto"/>
        <w:tblBorders>
          <w:insideH w:val="single" w:sz="4" w:space="0" w:color="auto"/>
          <w:insideV w:val="none" w:sz="0" w:space="0" w:color="auto"/>
        </w:tblBorders>
        <w:tblLayout w:type="fixed"/>
        <w:tblLook w:val="0220" w:firstRow="1" w:lastRow="0" w:firstColumn="0" w:lastColumn="0" w:noHBand="1" w:noVBand="0"/>
        <w:tblDescription w:val="EXPENSES BY OUTCOME"/>
      </w:tblPr>
      <w:tblGrid>
        <w:gridCol w:w="3118"/>
        <w:gridCol w:w="1277"/>
        <w:gridCol w:w="1876"/>
        <w:gridCol w:w="1439"/>
      </w:tblGrid>
      <w:tr w:rsidR="00032B77" w:rsidRPr="00032B77" w:rsidTr="00D30F97">
        <w:trPr>
          <w:cnfStyle w:val="100000000000" w:firstRow="1" w:lastRow="0" w:firstColumn="0" w:lastColumn="0" w:oddVBand="0" w:evenVBand="0" w:oddHBand="0" w:evenHBand="0" w:firstRowFirstColumn="0" w:firstRowLastColumn="0" w:lastRowFirstColumn="0" w:lastRowLastColumn="0"/>
          <w:trHeight w:val="60"/>
        </w:trPr>
        <w:tc>
          <w:tcPr>
            <w:tcW w:w="3118" w:type="dxa"/>
          </w:tcPr>
          <w:p w:rsidR="00032B77" w:rsidRPr="00032B77" w:rsidRDefault="00032B77" w:rsidP="00784B44">
            <w:pPr>
              <w:pStyle w:val="TableText"/>
            </w:pPr>
          </w:p>
        </w:tc>
        <w:tc>
          <w:tcPr>
            <w:tcW w:w="1277" w:type="dxa"/>
            <w:vAlign w:val="top"/>
          </w:tcPr>
          <w:p w:rsidR="00032B77" w:rsidRPr="00032B77" w:rsidRDefault="00032B77" w:rsidP="00784B44">
            <w:pPr>
              <w:pStyle w:val="TableText"/>
              <w:jc w:val="right"/>
              <w:rPr>
                <w:lang w:val="en-GB"/>
              </w:rPr>
            </w:pPr>
            <w:r w:rsidRPr="00032B77">
              <w:rPr>
                <w:bCs/>
                <w:lang w:val="en-GB"/>
              </w:rPr>
              <w:t>Budget</w:t>
            </w:r>
            <w:r w:rsidR="00784B44">
              <w:rPr>
                <w:bCs/>
                <w:lang w:val="en-GB"/>
              </w:rPr>
              <w:t xml:space="preserve"> </w:t>
            </w:r>
            <w:r w:rsidR="00784B44">
              <w:rPr>
                <w:bCs/>
                <w:lang w:val="en-GB"/>
              </w:rPr>
              <w:br/>
            </w:r>
            <w:r w:rsidRPr="00032B77">
              <w:rPr>
                <w:bCs/>
                <w:lang w:val="en-GB"/>
              </w:rPr>
              <w:t>2014–15</w:t>
            </w:r>
            <w:r w:rsidR="00784B44">
              <w:rPr>
                <w:bCs/>
                <w:lang w:val="en-GB"/>
              </w:rPr>
              <w:br/>
            </w:r>
            <w:r w:rsidRPr="00784B44">
              <w:rPr>
                <w:b w:val="0"/>
                <w:lang w:val="en-GB"/>
              </w:rPr>
              <w:t>$’000</w:t>
            </w:r>
          </w:p>
        </w:tc>
        <w:tc>
          <w:tcPr>
            <w:tcW w:w="1876" w:type="dxa"/>
            <w:vAlign w:val="top"/>
          </w:tcPr>
          <w:p w:rsidR="00032B77" w:rsidRPr="00032B77" w:rsidRDefault="00032B77" w:rsidP="00784B44">
            <w:pPr>
              <w:pStyle w:val="TableText"/>
              <w:jc w:val="right"/>
              <w:rPr>
                <w:lang w:val="en-GB"/>
              </w:rPr>
            </w:pPr>
            <w:r w:rsidRPr="00032B77">
              <w:rPr>
                <w:bCs/>
                <w:lang w:val="en-GB"/>
              </w:rPr>
              <w:t>Actual expenses</w:t>
            </w:r>
            <w:r w:rsidR="00784B44">
              <w:rPr>
                <w:bCs/>
                <w:lang w:val="en-GB"/>
              </w:rPr>
              <w:br/>
            </w:r>
            <w:r w:rsidRPr="00032B77">
              <w:rPr>
                <w:bCs/>
                <w:lang w:val="en-GB"/>
              </w:rPr>
              <w:t>2014–15</w:t>
            </w:r>
            <w:r w:rsidR="00784B44">
              <w:rPr>
                <w:bCs/>
                <w:lang w:val="en-GB"/>
              </w:rPr>
              <w:br/>
            </w:r>
            <w:r w:rsidRPr="00784B44">
              <w:rPr>
                <w:b w:val="0"/>
                <w:lang w:val="en-GB"/>
              </w:rPr>
              <w:t>$’000</w:t>
            </w:r>
          </w:p>
        </w:tc>
        <w:tc>
          <w:tcPr>
            <w:tcW w:w="1439" w:type="dxa"/>
            <w:vAlign w:val="top"/>
          </w:tcPr>
          <w:p w:rsidR="00032B77" w:rsidRPr="00032B77" w:rsidRDefault="00032B77" w:rsidP="00784B44">
            <w:pPr>
              <w:pStyle w:val="TableText"/>
              <w:jc w:val="right"/>
              <w:rPr>
                <w:lang w:val="en-GB"/>
              </w:rPr>
            </w:pPr>
            <w:r w:rsidRPr="00032B77">
              <w:rPr>
                <w:bCs/>
                <w:lang w:val="en-GB"/>
              </w:rPr>
              <w:t>Variation</w:t>
            </w:r>
            <w:r w:rsidR="00784B44">
              <w:rPr>
                <w:bCs/>
                <w:lang w:val="en-GB"/>
              </w:rPr>
              <w:br/>
            </w:r>
            <w:r w:rsidRPr="00032B77">
              <w:rPr>
                <w:bCs/>
                <w:lang w:val="en-GB"/>
              </w:rPr>
              <w:t>2014–15</w:t>
            </w:r>
            <w:r w:rsidR="00784B44">
              <w:rPr>
                <w:bCs/>
                <w:lang w:val="en-GB"/>
              </w:rPr>
              <w:br/>
            </w:r>
            <w:r w:rsidRPr="00784B44">
              <w:rPr>
                <w:b w:val="0"/>
                <w:lang w:val="en-GB"/>
              </w:rPr>
              <w:t>$’000</w:t>
            </w:r>
          </w:p>
        </w:tc>
      </w:tr>
      <w:tr w:rsidR="00032B77" w:rsidRPr="00032B77" w:rsidTr="00784B44">
        <w:trPr>
          <w:trHeight w:val="60"/>
        </w:trPr>
        <w:tc>
          <w:tcPr>
            <w:tcW w:w="7710" w:type="dxa"/>
            <w:gridSpan w:val="4"/>
          </w:tcPr>
          <w:p w:rsidR="00032B77" w:rsidRPr="00032B77" w:rsidRDefault="00032B77" w:rsidP="00784B44">
            <w:pPr>
              <w:pStyle w:val="FinancialsTableH2"/>
              <w:rPr>
                <w:lang w:val="en-GB"/>
              </w:rPr>
            </w:pPr>
            <w:r w:rsidRPr="00032B77">
              <w:rPr>
                <w:lang w:val="en-GB"/>
              </w:rPr>
              <w:t>Program 1.1: Public hospital price determinations</w:t>
            </w:r>
          </w:p>
        </w:tc>
      </w:tr>
      <w:tr w:rsidR="00032B77" w:rsidRPr="00032B77" w:rsidTr="00784B44">
        <w:trPr>
          <w:trHeight w:val="60"/>
        </w:trPr>
        <w:tc>
          <w:tcPr>
            <w:tcW w:w="7710" w:type="dxa"/>
            <w:gridSpan w:val="4"/>
          </w:tcPr>
          <w:p w:rsidR="00032B77" w:rsidRPr="00032B77" w:rsidRDefault="00032B77" w:rsidP="00784B44">
            <w:pPr>
              <w:pStyle w:val="TableText"/>
              <w:rPr>
                <w:b/>
                <w:bCs/>
                <w:lang w:val="en-GB"/>
              </w:rPr>
            </w:pPr>
            <w:r w:rsidRPr="00032B77">
              <w:rPr>
                <w:b/>
                <w:bCs/>
                <w:lang w:val="en-GB"/>
              </w:rPr>
              <w:t>Departmental Expenses</w:t>
            </w:r>
          </w:p>
        </w:tc>
      </w:tr>
      <w:tr w:rsidR="00032B77" w:rsidRPr="00032B77" w:rsidTr="00D30F97">
        <w:trPr>
          <w:trHeight w:val="60"/>
        </w:trPr>
        <w:tc>
          <w:tcPr>
            <w:tcW w:w="3118" w:type="dxa"/>
          </w:tcPr>
          <w:p w:rsidR="00032B77" w:rsidRPr="00032B77" w:rsidRDefault="00032B77" w:rsidP="00784B44">
            <w:pPr>
              <w:pStyle w:val="TableText"/>
              <w:rPr>
                <w:lang w:val="en-GB"/>
              </w:rPr>
            </w:pPr>
            <w:r w:rsidRPr="00032B77">
              <w:rPr>
                <w:lang w:val="en-GB"/>
              </w:rPr>
              <w:t>Departmental Appropriation</w:t>
            </w:r>
            <w:r w:rsidRPr="00032B77">
              <w:rPr>
                <w:vertAlign w:val="superscript"/>
                <w:lang w:val="en-GB"/>
              </w:rPr>
              <w:t>1</w:t>
            </w:r>
          </w:p>
        </w:tc>
        <w:tc>
          <w:tcPr>
            <w:tcW w:w="1277" w:type="dxa"/>
          </w:tcPr>
          <w:p w:rsidR="00032B77" w:rsidRPr="00032B77" w:rsidRDefault="00032B77" w:rsidP="00784B44">
            <w:pPr>
              <w:pStyle w:val="TableText"/>
              <w:jc w:val="right"/>
              <w:rPr>
                <w:lang w:val="en-GB"/>
              </w:rPr>
            </w:pPr>
            <w:r w:rsidRPr="00032B77">
              <w:rPr>
                <w:lang w:val="en-GB"/>
              </w:rPr>
              <w:t>13,251</w:t>
            </w:r>
          </w:p>
        </w:tc>
        <w:tc>
          <w:tcPr>
            <w:tcW w:w="1876" w:type="dxa"/>
          </w:tcPr>
          <w:p w:rsidR="00032B77" w:rsidRPr="00032B77" w:rsidRDefault="00032B77" w:rsidP="00784B44">
            <w:pPr>
              <w:pStyle w:val="TableText"/>
              <w:jc w:val="right"/>
              <w:rPr>
                <w:lang w:val="en-GB"/>
              </w:rPr>
            </w:pPr>
            <w:r w:rsidRPr="00032B77">
              <w:rPr>
                <w:lang w:val="en-GB"/>
              </w:rPr>
              <w:t>25,726</w:t>
            </w:r>
          </w:p>
        </w:tc>
        <w:tc>
          <w:tcPr>
            <w:tcW w:w="1439" w:type="dxa"/>
          </w:tcPr>
          <w:p w:rsidR="00032B77" w:rsidRPr="00032B77" w:rsidRDefault="00032B77" w:rsidP="00784B44">
            <w:pPr>
              <w:pStyle w:val="TableText"/>
              <w:jc w:val="right"/>
              <w:rPr>
                <w:lang w:val="en-GB"/>
              </w:rPr>
            </w:pPr>
            <w:r w:rsidRPr="00032B77">
              <w:rPr>
                <w:lang w:val="en-GB"/>
              </w:rPr>
              <w:t xml:space="preserve"> (12,475)</w:t>
            </w:r>
          </w:p>
        </w:tc>
      </w:tr>
      <w:tr w:rsidR="00032B77" w:rsidRPr="00032B77" w:rsidTr="00D30F97">
        <w:trPr>
          <w:trHeight w:val="60"/>
        </w:trPr>
        <w:tc>
          <w:tcPr>
            <w:tcW w:w="3118" w:type="dxa"/>
          </w:tcPr>
          <w:p w:rsidR="00032B77" w:rsidRPr="00032B77" w:rsidRDefault="00032B77" w:rsidP="00784B44">
            <w:pPr>
              <w:pStyle w:val="TableText"/>
              <w:rPr>
                <w:lang w:val="en-GB"/>
              </w:rPr>
            </w:pPr>
            <w:r w:rsidRPr="00032B77">
              <w:rPr>
                <w:lang w:val="en-GB"/>
              </w:rPr>
              <w:t>Revenue from own sources</w:t>
            </w:r>
          </w:p>
        </w:tc>
        <w:tc>
          <w:tcPr>
            <w:tcW w:w="1277" w:type="dxa"/>
          </w:tcPr>
          <w:p w:rsidR="00032B77" w:rsidRPr="00032B77" w:rsidRDefault="00032B77" w:rsidP="00784B44">
            <w:pPr>
              <w:pStyle w:val="TableText"/>
              <w:jc w:val="right"/>
              <w:rPr>
                <w:lang w:val="en-GB"/>
              </w:rPr>
            </w:pPr>
            <w:r w:rsidRPr="00032B77">
              <w:rPr>
                <w:lang w:val="en-GB"/>
              </w:rPr>
              <w:t>314</w:t>
            </w:r>
          </w:p>
        </w:tc>
        <w:tc>
          <w:tcPr>
            <w:tcW w:w="1876" w:type="dxa"/>
          </w:tcPr>
          <w:p w:rsidR="00032B77" w:rsidRPr="00032B77" w:rsidRDefault="00032B77" w:rsidP="00784B44">
            <w:pPr>
              <w:pStyle w:val="TableText"/>
              <w:jc w:val="right"/>
              <w:rPr>
                <w:lang w:val="en-GB"/>
              </w:rPr>
            </w:pPr>
            <w:r w:rsidRPr="00032B77">
              <w:rPr>
                <w:lang w:val="en-GB"/>
              </w:rPr>
              <w:t>2,436</w:t>
            </w:r>
          </w:p>
        </w:tc>
        <w:tc>
          <w:tcPr>
            <w:tcW w:w="1439" w:type="dxa"/>
          </w:tcPr>
          <w:p w:rsidR="00032B77" w:rsidRPr="00032B77" w:rsidRDefault="00032B77" w:rsidP="00784B44">
            <w:pPr>
              <w:pStyle w:val="TableText"/>
              <w:jc w:val="right"/>
              <w:rPr>
                <w:lang w:val="en-GB"/>
              </w:rPr>
            </w:pPr>
            <w:r w:rsidRPr="00032B77">
              <w:rPr>
                <w:lang w:val="en-GB"/>
              </w:rPr>
              <w:t xml:space="preserve"> (2,122)</w:t>
            </w:r>
          </w:p>
        </w:tc>
      </w:tr>
      <w:tr w:rsidR="00032B77" w:rsidRPr="00032B77" w:rsidTr="00D30F97">
        <w:trPr>
          <w:trHeight w:val="60"/>
        </w:trPr>
        <w:tc>
          <w:tcPr>
            <w:tcW w:w="3118" w:type="dxa"/>
          </w:tcPr>
          <w:p w:rsidR="00032B77" w:rsidRPr="00032B77" w:rsidRDefault="00032B77" w:rsidP="00784B44">
            <w:pPr>
              <w:pStyle w:val="TableText"/>
              <w:rPr>
                <w:lang w:val="en-GB"/>
              </w:rPr>
            </w:pPr>
            <w:r w:rsidRPr="00032B77">
              <w:rPr>
                <w:lang w:val="en-GB"/>
              </w:rPr>
              <w:t>Expenses not requiring appropriation in the budget year</w:t>
            </w:r>
          </w:p>
        </w:tc>
        <w:tc>
          <w:tcPr>
            <w:tcW w:w="1277" w:type="dxa"/>
          </w:tcPr>
          <w:p w:rsidR="00032B77" w:rsidRPr="00032B77" w:rsidRDefault="00032B77" w:rsidP="00784B44">
            <w:pPr>
              <w:pStyle w:val="TableText"/>
              <w:jc w:val="right"/>
              <w:rPr>
                <w:lang w:val="en-GB"/>
              </w:rPr>
            </w:pPr>
            <w:r w:rsidRPr="00032B77">
              <w:rPr>
                <w:lang w:val="en-GB"/>
              </w:rPr>
              <w:t>380</w:t>
            </w:r>
          </w:p>
        </w:tc>
        <w:tc>
          <w:tcPr>
            <w:tcW w:w="1876" w:type="dxa"/>
          </w:tcPr>
          <w:p w:rsidR="00032B77" w:rsidRPr="00032B77" w:rsidRDefault="00032B77" w:rsidP="00784B44">
            <w:pPr>
              <w:pStyle w:val="TableText"/>
              <w:jc w:val="right"/>
              <w:rPr>
                <w:lang w:val="en-GB"/>
              </w:rPr>
            </w:pPr>
            <w:r w:rsidRPr="00032B77">
              <w:rPr>
                <w:lang w:val="en-GB"/>
              </w:rPr>
              <w:t>58</w:t>
            </w:r>
          </w:p>
        </w:tc>
        <w:tc>
          <w:tcPr>
            <w:tcW w:w="1439" w:type="dxa"/>
          </w:tcPr>
          <w:p w:rsidR="00032B77" w:rsidRPr="00032B77" w:rsidRDefault="00032B77" w:rsidP="00784B44">
            <w:pPr>
              <w:pStyle w:val="TableText"/>
              <w:jc w:val="right"/>
              <w:rPr>
                <w:lang w:val="en-GB"/>
              </w:rPr>
            </w:pPr>
            <w:r w:rsidRPr="00032B77">
              <w:rPr>
                <w:lang w:val="en-GB"/>
              </w:rPr>
              <w:t xml:space="preserve"> 322 </w:t>
            </w:r>
          </w:p>
        </w:tc>
      </w:tr>
      <w:tr w:rsidR="00032B77" w:rsidRPr="00032B77" w:rsidTr="00D30F97">
        <w:trPr>
          <w:trHeight w:val="60"/>
        </w:trPr>
        <w:tc>
          <w:tcPr>
            <w:tcW w:w="3118" w:type="dxa"/>
          </w:tcPr>
          <w:p w:rsidR="00032B77" w:rsidRPr="00032B77" w:rsidRDefault="00032B77" w:rsidP="00784B44">
            <w:pPr>
              <w:pStyle w:val="TableText"/>
              <w:rPr>
                <w:lang w:val="en-GB"/>
              </w:rPr>
            </w:pPr>
            <w:r w:rsidRPr="00032B77">
              <w:rPr>
                <w:lang w:val="en-GB"/>
              </w:rPr>
              <w:t>Operating deficit (Surplus)</w:t>
            </w:r>
          </w:p>
        </w:tc>
        <w:tc>
          <w:tcPr>
            <w:tcW w:w="1277" w:type="dxa"/>
          </w:tcPr>
          <w:p w:rsidR="00032B77" w:rsidRPr="00032B77" w:rsidRDefault="00032B77" w:rsidP="00784B44">
            <w:pPr>
              <w:pStyle w:val="TableText"/>
              <w:jc w:val="right"/>
              <w:rPr>
                <w:lang w:val="en-GB"/>
              </w:rPr>
            </w:pPr>
            <w:r w:rsidRPr="00032B77">
              <w:rPr>
                <w:lang w:val="en-GB"/>
              </w:rPr>
              <w:t xml:space="preserve"> (380)</w:t>
            </w:r>
          </w:p>
        </w:tc>
        <w:tc>
          <w:tcPr>
            <w:tcW w:w="1876" w:type="dxa"/>
          </w:tcPr>
          <w:p w:rsidR="00032B77" w:rsidRPr="00032B77" w:rsidRDefault="00032B77" w:rsidP="00784B44">
            <w:pPr>
              <w:pStyle w:val="TableText"/>
              <w:jc w:val="right"/>
              <w:rPr>
                <w:lang w:val="en-GB"/>
              </w:rPr>
            </w:pPr>
            <w:r w:rsidRPr="00032B77">
              <w:rPr>
                <w:lang w:val="en-GB"/>
              </w:rPr>
              <w:t xml:space="preserve"> (3,746)</w:t>
            </w:r>
          </w:p>
        </w:tc>
        <w:tc>
          <w:tcPr>
            <w:tcW w:w="1439" w:type="dxa"/>
          </w:tcPr>
          <w:p w:rsidR="00032B77" w:rsidRPr="00032B77" w:rsidRDefault="00032B77" w:rsidP="00784B44">
            <w:pPr>
              <w:pStyle w:val="TableText"/>
              <w:jc w:val="right"/>
              <w:rPr>
                <w:lang w:val="en-GB"/>
              </w:rPr>
            </w:pPr>
            <w:r w:rsidRPr="00032B77">
              <w:rPr>
                <w:lang w:val="en-GB"/>
              </w:rPr>
              <w:t xml:space="preserve"> 3,366 </w:t>
            </w:r>
          </w:p>
        </w:tc>
      </w:tr>
      <w:tr w:rsidR="00032B77" w:rsidRPr="00032B77" w:rsidTr="00D30F97">
        <w:trPr>
          <w:trHeight w:val="60"/>
        </w:trPr>
        <w:tc>
          <w:tcPr>
            <w:tcW w:w="3118" w:type="dxa"/>
          </w:tcPr>
          <w:p w:rsidR="00032B77" w:rsidRPr="00032B77" w:rsidRDefault="00032B77" w:rsidP="00784B44">
            <w:pPr>
              <w:pStyle w:val="TableText"/>
              <w:rPr>
                <w:b/>
                <w:bCs/>
                <w:lang w:val="en-GB"/>
              </w:rPr>
            </w:pPr>
            <w:r w:rsidRPr="00032B77">
              <w:rPr>
                <w:b/>
                <w:bCs/>
                <w:lang w:val="en-GB"/>
              </w:rPr>
              <w:t xml:space="preserve">Total expenses for Outcome </w:t>
            </w:r>
            <w:r w:rsidRPr="00784B44">
              <w:rPr>
                <w:b/>
                <w:bCs/>
                <w:vertAlign w:val="superscript"/>
                <w:lang w:val="en-GB"/>
              </w:rPr>
              <w:t>1</w:t>
            </w:r>
          </w:p>
        </w:tc>
        <w:tc>
          <w:tcPr>
            <w:tcW w:w="1277" w:type="dxa"/>
          </w:tcPr>
          <w:p w:rsidR="00032B77" w:rsidRPr="00032B77" w:rsidRDefault="00032B77" w:rsidP="00784B44">
            <w:pPr>
              <w:pStyle w:val="TableText"/>
              <w:jc w:val="right"/>
              <w:rPr>
                <w:b/>
                <w:bCs/>
                <w:lang w:val="en-GB"/>
              </w:rPr>
            </w:pPr>
            <w:r w:rsidRPr="00032B77">
              <w:rPr>
                <w:b/>
                <w:bCs/>
                <w:lang w:val="en-GB"/>
              </w:rPr>
              <w:t>13,565</w:t>
            </w:r>
          </w:p>
        </w:tc>
        <w:tc>
          <w:tcPr>
            <w:tcW w:w="1876" w:type="dxa"/>
          </w:tcPr>
          <w:p w:rsidR="00032B77" w:rsidRPr="00032B77" w:rsidRDefault="00032B77" w:rsidP="00784B44">
            <w:pPr>
              <w:pStyle w:val="TableText"/>
              <w:jc w:val="right"/>
              <w:rPr>
                <w:b/>
                <w:bCs/>
                <w:lang w:val="en-GB"/>
              </w:rPr>
            </w:pPr>
            <w:r w:rsidRPr="00032B77">
              <w:rPr>
                <w:b/>
                <w:bCs/>
                <w:lang w:val="en-GB"/>
              </w:rPr>
              <w:t>24,474</w:t>
            </w:r>
          </w:p>
        </w:tc>
        <w:tc>
          <w:tcPr>
            <w:tcW w:w="1439" w:type="dxa"/>
          </w:tcPr>
          <w:p w:rsidR="00032B77" w:rsidRPr="00032B77" w:rsidRDefault="00032B77" w:rsidP="00784B44">
            <w:pPr>
              <w:pStyle w:val="TableText"/>
              <w:jc w:val="right"/>
              <w:rPr>
                <w:b/>
                <w:bCs/>
                <w:lang w:val="en-GB"/>
              </w:rPr>
            </w:pPr>
            <w:r w:rsidRPr="00032B77">
              <w:rPr>
                <w:b/>
                <w:bCs/>
                <w:lang w:val="en-GB"/>
              </w:rPr>
              <w:t xml:space="preserve"> (10,909)</w:t>
            </w:r>
          </w:p>
        </w:tc>
      </w:tr>
      <w:tr w:rsidR="00032B77" w:rsidRPr="00032B77" w:rsidTr="00D30F97">
        <w:trPr>
          <w:trHeight w:val="60"/>
        </w:trPr>
        <w:tc>
          <w:tcPr>
            <w:tcW w:w="3118" w:type="dxa"/>
          </w:tcPr>
          <w:p w:rsidR="00032B77" w:rsidRPr="00032B77" w:rsidRDefault="00032B77" w:rsidP="00784B44">
            <w:pPr>
              <w:pStyle w:val="TableText"/>
            </w:pPr>
          </w:p>
        </w:tc>
        <w:tc>
          <w:tcPr>
            <w:tcW w:w="1277" w:type="dxa"/>
          </w:tcPr>
          <w:p w:rsidR="00032B77" w:rsidRPr="00032B77" w:rsidRDefault="00032B77" w:rsidP="00784B44">
            <w:pPr>
              <w:pStyle w:val="TableText"/>
              <w:jc w:val="right"/>
            </w:pPr>
          </w:p>
        </w:tc>
        <w:tc>
          <w:tcPr>
            <w:tcW w:w="1876" w:type="dxa"/>
          </w:tcPr>
          <w:p w:rsidR="00032B77" w:rsidRPr="00784B44" w:rsidRDefault="00032B77" w:rsidP="00784B44">
            <w:pPr>
              <w:pStyle w:val="FinancialsTableH2"/>
              <w:jc w:val="right"/>
              <w:rPr>
                <w:lang w:val="en-GB"/>
              </w:rPr>
            </w:pPr>
            <w:r w:rsidRPr="00784B44">
              <w:rPr>
                <w:lang w:val="en-GB"/>
              </w:rPr>
              <w:t>2013–14</w:t>
            </w:r>
          </w:p>
        </w:tc>
        <w:tc>
          <w:tcPr>
            <w:tcW w:w="1439" w:type="dxa"/>
          </w:tcPr>
          <w:p w:rsidR="00032B77" w:rsidRPr="00784B44" w:rsidRDefault="00032B77" w:rsidP="00784B44">
            <w:pPr>
              <w:pStyle w:val="FinancialsTableH2"/>
              <w:jc w:val="right"/>
              <w:rPr>
                <w:lang w:val="en-GB"/>
              </w:rPr>
            </w:pPr>
            <w:r w:rsidRPr="00784B44">
              <w:rPr>
                <w:lang w:val="en-GB"/>
              </w:rPr>
              <w:t>2014–15</w:t>
            </w:r>
          </w:p>
        </w:tc>
      </w:tr>
      <w:tr w:rsidR="00032B77" w:rsidRPr="00032B77" w:rsidTr="00D30F97">
        <w:trPr>
          <w:trHeight w:val="60"/>
        </w:trPr>
        <w:tc>
          <w:tcPr>
            <w:tcW w:w="3118" w:type="dxa"/>
          </w:tcPr>
          <w:p w:rsidR="00032B77" w:rsidRPr="00032B77" w:rsidRDefault="00032B77" w:rsidP="00784B44">
            <w:pPr>
              <w:pStyle w:val="TableText"/>
              <w:rPr>
                <w:lang w:val="en-GB"/>
              </w:rPr>
            </w:pPr>
            <w:r w:rsidRPr="00032B77">
              <w:rPr>
                <w:lang w:val="en-GB"/>
              </w:rPr>
              <w:t>Average staffing level</w:t>
            </w:r>
            <w:r w:rsidRPr="00032B77">
              <w:rPr>
                <w:vertAlign w:val="superscript"/>
                <w:lang w:val="en-GB"/>
              </w:rPr>
              <w:t>2</w:t>
            </w:r>
          </w:p>
        </w:tc>
        <w:tc>
          <w:tcPr>
            <w:tcW w:w="1277" w:type="dxa"/>
          </w:tcPr>
          <w:p w:rsidR="00032B77" w:rsidRPr="00032B77" w:rsidRDefault="00032B77" w:rsidP="00784B44">
            <w:pPr>
              <w:pStyle w:val="TableText"/>
              <w:jc w:val="right"/>
            </w:pPr>
          </w:p>
        </w:tc>
        <w:tc>
          <w:tcPr>
            <w:tcW w:w="1876" w:type="dxa"/>
          </w:tcPr>
          <w:p w:rsidR="00032B77" w:rsidRPr="00032B77" w:rsidRDefault="00032B77" w:rsidP="00784B44">
            <w:pPr>
              <w:pStyle w:val="TableText"/>
              <w:jc w:val="right"/>
              <w:rPr>
                <w:lang w:val="en-GB"/>
              </w:rPr>
            </w:pPr>
            <w:r w:rsidRPr="00032B77">
              <w:rPr>
                <w:lang w:val="en-GB"/>
              </w:rPr>
              <w:t>53</w:t>
            </w:r>
          </w:p>
        </w:tc>
        <w:tc>
          <w:tcPr>
            <w:tcW w:w="1439" w:type="dxa"/>
          </w:tcPr>
          <w:p w:rsidR="00032B77" w:rsidRPr="00032B77" w:rsidRDefault="00032B77" w:rsidP="00784B44">
            <w:pPr>
              <w:pStyle w:val="TableText"/>
              <w:jc w:val="right"/>
              <w:rPr>
                <w:lang w:val="en-GB"/>
              </w:rPr>
            </w:pPr>
            <w:r w:rsidRPr="00032B77">
              <w:rPr>
                <w:lang w:val="en-GB"/>
              </w:rPr>
              <w:t>53</w:t>
            </w:r>
          </w:p>
        </w:tc>
      </w:tr>
    </w:tbl>
    <w:p w:rsidR="00032B77" w:rsidRPr="00056004" w:rsidRDefault="00032B77" w:rsidP="00032B77">
      <w:pPr>
        <w:pStyle w:val="SourceNotesText"/>
        <w:rPr>
          <w:b/>
          <w:lang w:val="en-GB"/>
        </w:rPr>
      </w:pPr>
      <w:r w:rsidRPr="00032B77">
        <w:rPr>
          <w:b/>
          <w:lang w:val="en-GB"/>
        </w:rPr>
        <w:t>Notes</w:t>
      </w:r>
      <w:r w:rsidR="00056004">
        <w:rPr>
          <w:b/>
          <w:lang w:val="en-GB"/>
        </w:rPr>
        <w:br/>
      </w:r>
      <w:r w:rsidRPr="00032B77">
        <w:rPr>
          <w:lang w:val="en-GB"/>
        </w:rPr>
        <w:t>1. The variation in departmental appropriation of $12.475 million was funded by a transfer of administered budget to departmental of $12.277 million and consolidation of departmental c</w:t>
      </w:r>
      <w:r>
        <w:rPr>
          <w:lang w:val="en-GB"/>
        </w:rPr>
        <w:t>apital budget of 0.198 million.</w:t>
      </w:r>
    </w:p>
    <w:p w:rsidR="00032B77" w:rsidRPr="00032B77" w:rsidRDefault="00032B77" w:rsidP="00032B77">
      <w:pPr>
        <w:pStyle w:val="SourceNotesText"/>
        <w:rPr>
          <w:lang w:val="en-GB"/>
        </w:rPr>
      </w:pPr>
      <w:r w:rsidRPr="00032B77">
        <w:rPr>
          <w:lang w:val="en-GB"/>
        </w:rPr>
        <w:t>IHPA has one outcome “Promote improved efficiency in, and access to, public hospital services primarily through setting efficient national prices and levels of block funding for hospital activities”.</w:t>
      </w:r>
    </w:p>
    <w:p w:rsidR="00032B77" w:rsidRPr="00032B77" w:rsidRDefault="00032B77" w:rsidP="00032B77">
      <w:pPr>
        <w:pStyle w:val="SourceNotesText"/>
        <w:rPr>
          <w:lang w:val="en-GB"/>
        </w:rPr>
      </w:pPr>
      <w:r w:rsidRPr="00032B77">
        <w:rPr>
          <w:lang w:val="en-GB"/>
        </w:rPr>
        <w:t>2. Staff numbers were 57 at 30 June 2015.</w:t>
      </w:r>
    </w:p>
    <w:p w:rsidR="001B60D4" w:rsidRDefault="00032B77" w:rsidP="00032B77">
      <w:r w:rsidRPr="00032B77">
        <w:t xml:space="preserve"> </w:t>
      </w:r>
      <w:r w:rsidR="001B60D4">
        <w:br w:type="page"/>
      </w:r>
    </w:p>
    <w:p w:rsidR="001B60D4" w:rsidRDefault="001B60D4" w:rsidP="001B60D4">
      <w:pPr>
        <w:pStyle w:val="Heading1"/>
      </w:pPr>
      <w:bookmarkStart w:id="48" w:name="_Toc432437402"/>
      <w:r w:rsidRPr="00A361C7">
        <w:rPr>
          <w:caps w:val="0"/>
          <w:color w:val="FFFFFF" w:themeColor="background1"/>
          <w:sz w:val="32"/>
          <w:szCs w:val="32"/>
        </w:rPr>
        <w:t>Appendix C</w:t>
      </w:r>
      <w:r>
        <w:rPr>
          <w:color w:val="FFFFFF" w:themeColor="background1"/>
        </w:rPr>
        <w:br/>
      </w:r>
      <w:r w:rsidRPr="001B60D4">
        <w:rPr>
          <w:color w:val="FFFFFF" w:themeColor="background1"/>
        </w:rPr>
        <w:t>Acronyms and Abbreviations</w:t>
      </w:r>
      <w:r w:rsidRPr="004225DC">
        <w:rPr>
          <w:noProof/>
          <w:color w:val="FFFFFF" w:themeColor="background1"/>
        </w:rPr>
        <w:drawing>
          <wp:anchor distT="0" distB="0" distL="114300" distR="114300" simplePos="0" relativeHeight="251661312" behindDoc="1" locked="0" layoutInCell="0" allowOverlap="1" wp14:anchorId="708160F8" wp14:editId="2E721084">
            <wp:simplePos x="0" y="0"/>
            <wp:positionH relativeFrom="page">
              <wp:align>left</wp:align>
            </wp:positionH>
            <wp:positionV relativeFrom="page">
              <wp:align>top</wp:align>
            </wp:positionV>
            <wp:extent cx="7560000" cy="1069200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48"/>
      <w:r>
        <w:br w:type="page"/>
      </w:r>
    </w:p>
    <w:tbl>
      <w:tblPr>
        <w:tblStyle w:val="DefaultTable"/>
        <w:tblW w:w="9519" w:type="dxa"/>
        <w:tblLayout w:type="fixed"/>
        <w:tblLook w:val="00A0" w:firstRow="1" w:lastRow="0" w:firstColumn="1" w:lastColumn="0" w:noHBand="0" w:noVBand="0"/>
        <w:tblDescription w:val="ACRONYMS AND ABBREVIATIONS"/>
      </w:tblPr>
      <w:tblGrid>
        <w:gridCol w:w="2126"/>
        <w:gridCol w:w="7393"/>
      </w:tblGrid>
      <w:tr w:rsidR="007C118A" w:rsidRPr="007C118A" w:rsidTr="007C118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Term</w:t>
            </w:r>
          </w:p>
        </w:tc>
        <w:tc>
          <w:tcPr>
            <w:tcW w:w="7393" w:type="dxa"/>
          </w:tcPr>
          <w:p w:rsidR="007C118A" w:rsidRPr="007C118A" w:rsidRDefault="007C118A" w:rsidP="009C7778">
            <w:pPr>
              <w:pStyle w:val="TableText"/>
              <w:spacing w:before="160" w:after="160" w:line="240" w:lineRule="auto"/>
              <w:cnfStyle w:val="100000000000" w:firstRow="1" w:lastRow="0" w:firstColumn="0" w:lastColumn="0" w:oddVBand="0" w:evenVBand="0" w:oddHBand="0" w:evenHBand="0" w:firstRowFirstColumn="0" w:firstRowLastColumn="0" w:lastRowFirstColumn="0" w:lastRowLastColumn="0"/>
              <w:rPr>
                <w:lang w:val="en-GB"/>
              </w:rPr>
            </w:pPr>
            <w:r w:rsidRPr="007C118A">
              <w:rPr>
                <w:lang w:val="en-GB"/>
              </w:rPr>
              <w:t>Description</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ABF</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Activity Based Funding</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 xml:space="preserve">ACSQHC </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Australian Commission on Safety and Quality in Health Care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 xml:space="preserve">Act (the) </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i/>
                <w:iCs/>
                <w:lang w:val="en-GB"/>
              </w:rPr>
              <w:t>National Health Reform Act 2011</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AIHW</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Australian Institute for Health and Welfare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AMHCC</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Australian Mental Health Care Classification</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ANACC</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Australian Non-admitted Care Classification</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AN</w:t>
            </w:r>
            <w:r w:rsidRPr="007C118A">
              <w:rPr>
                <w:lang w:val="en-GB"/>
              </w:rPr>
              <w:noBreakHyphen/>
              <w:t>SNAP</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Australian National Subacute and Non-Acute Patient</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ANAO</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Australian National Audit Office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APC</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Admitted Patient Care</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APS</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Australian Public Service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APSC</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Australian Public Service Commission</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ARC Committee</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Audit, Risk and Compliance Committee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AR-DRG</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Australian Refined Diagnosis Related Groups</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CAC</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Clinical Advisory Committee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CEO</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Chief Executive Officer</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COAG</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Council of Australian Governments</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CFO</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Chief Financial Officer</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DSS</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Data Set Specification</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ED</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Emergency Department</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EL</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Executive Level</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ES</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Emergency Services</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FOI</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Freedom of Information</w:t>
            </w:r>
          </w:p>
        </w:tc>
      </w:tr>
      <w:tr w:rsidR="007C118A" w:rsidRPr="007C118A" w:rsidTr="006768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GEM</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Geriatric Evaluation Management</w:t>
            </w:r>
          </w:p>
        </w:tc>
      </w:tr>
      <w:tr w:rsidR="007C118A" w:rsidRPr="007C118A" w:rsidTr="00676870">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HOPO</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Holder of Public Office</w:t>
            </w:r>
          </w:p>
        </w:tc>
      </w:tr>
      <w:tr w:rsidR="007C118A" w:rsidRPr="007C118A" w:rsidTr="006768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ICD-10-AM</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 xml:space="preserve">International Statistical Classification of Diseases and Related Health Problems, Tenth Revision, Australian Modification </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ICT</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Information and Communication Technology</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IFA</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Individual Flexibility Arrangements</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IHPA</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 xml:space="preserve">Independent Hospital Pricing Authority </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JAC</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Jurisdictional Advisory Committee</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LHN</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Local Hospital Network</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NAP</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Non-admitted Patient</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NEC</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National Efficient Cost</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NEP</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National Efficient Price</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 xml:space="preserve">NHCDC </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National Hospital Cost Data Collection</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NHFB</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National Health Funding Body</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NHPA</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 xml:space="preserve">National Health Performance Authority </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NHRA</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National Health Reform Agreement (2011)</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NWAU</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National Weighted Activity Unit</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PBS</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Portfolio Budget Statements</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PGPA Act</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i/>
                <w:iCs/>
                <w:lang w:val="en-GB"/>
              </w:rPr>
              <w:t>Public Governance, Performance and Accountability Act 2013</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SES</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Senior Executive Service</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TAC</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Technical Advisory Committee</w:t>
            </w:r>
          </w:p>
        </w:tc>
      </w:tr>
      <w:tr w:rsidR="007C118A" w:rsidRPr="007C118A" w:rsidTr="007C11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TTR</w:t>
            </w:r>
          </w:p>
        </w:tc>
        <w:tc>
          <w:tcPr>
            <w:tcW w:w="7393" w:type="dxa"/>
          </w:tcPr>
          <w:p w:rsidR="007C118A" w:rsidRPr="007C118A" w:rsidRDefault="007C118A" w:rsidP="009C7778">
            <w:pPr>
              <w:pStyle w:val="TableText"/>
              <w:spacing w:before="160" w:after="160" w:line="240" w:lineRule="auto"/>
              <w:cnfStyle w:val="000000100000" w:firstRow="0" w:lastRow="0" w:firstColumn="0" w:lastColumn="0" w:oddVBand="0" w:evenVBand="0" w:oddHBand="1" w:evenHBand="0" w:firstRowFirstColumn="0" w:firstRowLastColumn="0" w:lastRowFirstColumn="0" w:lastRowLastColumn="0"/>
              <w:rPr>
                <w:lang w:val="en-GB"/>
              </w:rPr>
            </w:pPr>
            <w:r w:rsidRPr="007C118A">
              <w:rPr>
                <w:lang w:val="en-GB"/>
              </w:rPr>
              <w:t>Teaching, Training and Research</w:t>
            </w:r>
          </w:p>
        </w:tc>
      </w:tr>
      <w:tr w:rsidR="007C118A" w:rsidRPr="007C118A" w:rsidTr="007C118A">
        <w:trPr>
          <w:trHeight w:val="340"/>
        </w:trPr>
        <w:tc>
          <w:tcPr>
            <w:cnfStyle w:val="001000000000" w:firstRow="0" w:lastRow="0" w:firstColumn="1" w:lastColumn="0" w:oddVBand="0" w:evenVBand="0" w:oddHBand="0" w:evenHBand="0" w:firstRowFirstColumn="0" w:firstRowLastColumn="0" w:lastRowFirstColumn="0" w:lastRowLastColumn="0"/>
            <w:tcW w:w="2126" w:type="dxa"/>
          </w:tcPr>
          <w:p w:rsidR="007C118A" w:rsidRPr="007C118A" w:rsidRDefault="007C118A" w:rsidP="009C7778">
            <w:pPr>
              <w:pStyle w:val="TableText"/>
              <w:spacing w:before="160" w:after="160" w:line="240" w:lineRule="auto"/>
              <w:rPr>
                <w:lang w:val="en-GB"/>
              </w:rPr>
            </w:pPr>
            <w:r w:rsidRPr="007C118A">
              <w:rPr>
                <w:lang w:val="en-GB"/>
              </w:rPr>
              <w:t>WHS</w:t>
            </w:r>
          </w:p>
        </w:tc>
        <w:tc>
          <w:tcPr>
            <w:tcW w:w="7393" w:type="dxa"/>
          </w:tcPr>
          <w:p w:rsidR="007C118A" w:rsidRPr="007C118A" w:rsidRDefault="007C118A" w:rsidP="009C7778">
            <w:pPr>
              <w:pStyle w:val="TableText"/>
              <w:spacing w:before="160" w:after="160" w:line="240" w:lineRule="auto"/>
              <w:cnfStyle w:val="000000000000" w:firstRow="0" w:lastRow="0" w:firstColumn="0" w:lastColumn="0" w:oddVBand="0" w:evenVBand="0" w:oddHBand="0" w:evenHBand="0" w:firstRowFirstColumn="0" w:firstRowLastColumn="0" w:lastRowFirstColumn="0" w:lastRowLastColumn="0"/>
              <w:rPr>
                <w:lang w:val="en-GB"/>
              </w:rPr>
            </w:pPr>
            <w:r w:rsidRPr="007C118A">
              <w:rPr>
                <w:lang w:val="en-GB"/>
              </w:rPr>
              <w:t>Work Health and Safety</w:t>
            </w:r>
          </w:p>
        </w:tc>
      </w:tr>
    </w:tbl>
    <w:p w:rsidR="001B60D4" w:rsidRDefault="007C118A" w:rsidP="001B60D4">
      <w:r w:rsidRPr="007C118A">
        <w:t xml:space="preserve"> </w:t>
      </w:r>
      <w:r w:rsidR="001B60D4">
        <w:br w:type="page"/>
      </w:r>
    </w:p>
    <w:p w:rsidR="001B60D4" w:rsidRDefault="001B60D4" w:rsidP="001B60D4">
      <w:pPr>
        <w:pStyle w:val="Heading1"/>
      </w:pPr>
      <w:bookmarkStart w:id="49" w:name="_Toc432437403"/>
      <w:r w:rsidRPr="00A361C7">
        <w:rPr>
          <w:caps w:val="0"/>
          <w:color w:val="FFFFFF" w:themeColor="background1"/>
          <w:sz w:val="32"/>
          <w:szCs w:val="32"/>
        </w:rPr>
        <w:t>Appendix D</w:t>
      </w:r>
      <w:r>
        <w:rPr>
          <w:color w:val="FFFFFF" w:themeColor="background1"/>
        </w:rPr>
        <w:br/>
      </w:r>
      <w:r w:rsidRPr="001B60D4">
        <w:rPr>
          <w:color w:val="FFFFFF" w:themeColor="background1"/>
        </w:rPr>
        <w:t>Glossary</w:t>
      </w:r>
      <w:r w:rsidRPr="004225DC">
        <w:rPr>
          <w:noProof/>
          <w:color w:val="FFFFFF" w:themeColor="background1"/>
        </w:rPr>
        <w:drawing>
          <wp:anchor distT="0" distB="0" distL="114300" distR="114300" simplePos="0" relativeHeight="251662336" behindDoc="1" locked="0" layoutInCell="0" allowOverlap="1" wp14:anchorId="68F06C8C" wp14:editId="6A811378">
            <wp:simplePos x="0" y="0"/>
            <wp:positionH relativeFrom="page">
              <wp:align>left</wp:align>
            </wp:positionH>
            <wp:positionV relativeFrom="page">
              <wp:align>top</wp:align>
            </wp:positionV>
            <wp:extent cx="7560000" cy="1069200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49"/>
      <w:r>
        <w:br w:type="page"/>
      </w:r>
    </w:p>
    <w:p w:rsidR="00AF63AB" w:rsidRPr="00AF63AB" w:rsidRDefault="00AF63AB" w:rsidP="00AF63AB">
      <w:pPr>
        <w:rPr>
          <w:b/>
          <w:bCs/>
          <w:color w:val="008A00" w:themeColor="accent2"/>
          <w:lang w:val="en-GB"/>
        </w:rPr>
      </w:pPr>
      <w:r w:rsidRPr="00AF63AB">
        <w:rPr>
          <w:b/>
          <w:bCs/>
          <w:color w:val="008A00" w:themeColor="accent2"/>
          <w:lang w:val="en-GB"/>
        </w:rPr>
        <w:t>Activity Based Funding</w:t>
      </w:r>
    </w:p>
    <w:p w:rsidR="00AF63AB" w:rsidRPr="00AF63AB" w:rsidRDefault="00AF63AB" w:rsidP="00AF63AB">
      <w:pPr>
        <w:rPr>
          <w:lang w:val="en-GB"/>
        </w:rPr>
      </w:pPr>
      <w:r w:rsidRPr="00AF63AB">
        <w:rPr>
          <w:lang w:val="en-GB"/>
        </w:rPr>
        <w:t>An activity comprising in-scope public hospital services which will be funded by the Australian Government in the manner described at clause A32.c of the National Health Reform Agreement 2011. An ABF activity may take the form of a separation, presentation or service event.</w:t>
      </w:r>
    </w:p>
    <w:p w:rsidR="00AF63AB" w:rsidRPr="00AF63AB" w:rsidRDefault="00AF63AB" w:rsidP="00AF63AB">
      <w:pPr>
        <w:spacing w:before="240"/>
        <w:rPr>
          <w:b/>
          <w:bCs/>
          <w:color w:val="008A00" w:themeColor="accent2"/>
          <w:lang w:val="en-GB"/>
        </w:rPr>
      </w:pPr>
      <w:r w:rsidRPr="00AF63AB">
        <w:rPr>
          <w:b/>
          <w:bCs/>
          <w:color w:val="008A00" w:themeColor="accent2"/>
          <w:lang w:val="en-GB"/>
        </w:rPr>
        <w:t>Adjustment</w:t>
      </w:r>
    </w:p>
    <w:p w:rsidR="00AF63AB" w:rsidRPr="00AF63AB" w:rsidRDefault="00AF63AB" w:rsidP="00AF63AB">
      <w:pPr>
        <w:rPr>
          <w:lang w:val="en-GB"/>
        </w:rPr>
      </w:pPr>
      <w:r w:rsidRPr="00AF63AB">
        <w:rPr>
          <w:lang w:val="en-GB"/>
        </w:rPr>
        <w:t>An amount added to, or subtracted from a Price Weight, in recognition of legitimate and unavoidable variations in the cost of service delivery.</w:t>
      </w:r>
    </w:p>
    <w:p w:rsidR="00AF63AB" w:rsidRPr="00AF63AB" w:rsidRDefault="00AF63AB" w:rsidP="00AF63AB">
      <w:pPr>
        <w:spacing w:before="240"/>
        <w:rPr>
          <w:b/>
          <w:bCs/>
          <w:color w:val="008A00" w:themeColor="accent2"/>
          <w:lang w:val="en-GB"/>
        </w:rPr>
      </w:pPr>
      <w:r w:rsidRPr="00AF63AB">
        <w:rPr>
          <w:b/>
          <w:bCs/>
          <w:color w:val="008A00" w:themeColor="accent2"/>
          <w:lang w:val="en-GB"/>
        </w:rPr>
        <w:t>Agreement</w:t>
      </w:r>
    </w:p>
    <w:p w:rsidR="00AF63AB" w:rsidRPr="00AF63AB" w:rsidRDefault="00AF63AB" w:rsidP="00AF63AB">
      <w:pPr>
        <w:rPr>
          <w:lang w:val="en-GB"/>
        </w:rPr>
      </w:pPr>
      <w:r w:rsidRPr="00AF63AB">
        <w:rPr>
          <w:lang w:val="en-GB"/>
        </w:rPr>
        <w:t xml:space="preserve">The National Health Reform Agreement (NHRA) between the Australian Government and state and territory governments, dated 2 August 2011. </w:t>
      </w:r>
      <w:hyperlink r:id="rId47" w:history="1">
        <w:r w:rsidRPr="00AF63AB">
          <w:rPr>
            <w:rStyle w:val="Hyperlink"/>
            <w:lang w:val="en-GB"/>
          </w:rPr>
          <w:t>www.yourhealth.gov.au/internet/yourhealth/publishing.nsf/Content/nhra-justreleased</w:t>
        </w:r>
      </w:hyperlink>
    </w:p>
    <w:p w:rsidR="00AF63AB" w:rsidRPr="00AF63AB" w:rsidRDefault="00AF63AB" w:rsidP="00AF63AB">
      <w:pPr>
        <w:spacing w:before="240"/>
        <w:rPr>
          <w:b/>
          <w:bCs/>
          <w:color w:val="008A00" w:themeColor="accent2"/>
          <w:lang w:val="en-GB"/>
        </w:rPr>
      </w:pPr>
      <w:r w:rsidRPr="00AF63AB">
        <w:rPr>
          <w:b/>
          <w:bCs/>
          <w:color w:val="008A00" w:themeColor="accent2"/>
          <w:lang w:val="en-GB"/>
        </w:rPr>
        <w:t>AR-DRG</w:t>
      </w:r>
    </w:p>
    <w:p w:rsidR="00AF63AB" w:rsidRPr="00AF63AB" w:rsidRDefault="00AF63AB" w:rsidP="00AF63AB">
      <w:pPr>
        <w:rPr>
          <w:lang w:val="en-GB"/>
        </w:rPr>
      </w:pPr>
      <w:r w:rsidRPr="00AF63AB">
        <w:rPr>
          <w:lang w:val="en-GB"/>
        </w:rPr>
        <w:t xml:space="preserve">Refers to a group within the classification system known as Australian Refined Diagnostic Related Groups version 8.0 (also known as AR-DRG version 8.0). </w:t>
      </w:r>
    </w:p>
    <w:p w:rsidR="00AF63AB" w:rsidRPr="00AF63AB" w:rsidRDefault="00AF63AB" w:rsidP="00AF63AB">
      <w:pPr>
        <w:spacing w:before="240"/>
        <w:rPr>
          <w:b/>
          <w:bCs/>
          <w:lang w:val="en-GB"/>
        </w:rPr>
      </w:pPr>
      <w:r w:rsidRPr="00AF63AB">
        <w:rPr>
          <w:b/>
          <w:bCs/>
          <w:color w:val="008A00" w:themeColor="accent2"/>
          <w:lang w:val="en-GB"/>
        </w:rPr>
        <w:t>ASGS</w:t>
      </w:r>
    </w:p>
    <w:p w:rsidR="00AF63AB" w:rsidRPr="00AF63AB" w:rsidRDefault="00AF63AB" w:rsidP="00AF63AB">
      <w:pPr>
        <w:rPr>
          <w:lang w:val="en-GB"/>
        </w:rPr>
      </w:pPr>
      <w:r w:rsidRPr="00AF63AB">
        <w:rPr>
          <w:lang w:val="en-GB"/>
        </w:rPr>
        <w:t xml:space="preserve">The Australian Statistical Geography Standard, developed by the Australian Bureau of Statistics. </w:t>
      </w:r>
    </w:p>
    <w:p w:rsidR="00AF63AB" w:rsidRPr="00AF63AB" w:rsidRDefault="00AF63AB" w:rsidP="00AF63AB">
      <w:pPr>
        <w:spacing w:before="240"/>
        <w:rPr>
          <w:b/>
          <w:bCs/>
          <w:color w:val="008A00" w:themeColor="accent2"/>
          <w:lang w:val="en-GB"/>
        </w:rPr>
      </w:pPr>
      <w:r w:rsidRPr="00AF63AB">
        <w:rPr>
          <w:b/>
          <w:bCs/>
          <w:color w:val="008A00" w:themeColor="accent2"/>
          <w:lang w:val="en-GB"/>
        </w:rPr>
        <w:t>Block funding</w:t>
      </w:r>
    </w:p>
    <w:p w:rsidR="00AF63AB" w:rsidRPr="00AF63AB" w:rsidRDefault="00AF63AB" w:rsidP="00AF63AB">
      <w:pPr>
        <w:rPr>
          <w:lang w:val="en-GB"/>
        </w:rPr>
      </w:pPr>
      <w:r w:rsidRPr="00AF63AB">
        <w:rPr>
          <w:lang w:val="en-GB"/>
        </w:rPr>
        <w:t xml:space="preserve">Refers to a way of funding hospitals that is not tied to outputs. </w:t>
      </w:r>
    </w:p>
    <w:p w:rsidR="00AF63AB" w:rsidRPr="00AF63AB" w:rsidRDefault="00AF63AB" w:rsidP="00AF63AB">
      <w:pPr>
        <w:spacing w:before="240"/>
        <w:rPr>
          <w:b/>
          <w:bCs/>
          <w:i/>
          <w:color w:val="008A00" w:themeColor="accent2"/>
          <w:lang w:val="en-GB"/>
        </w:rPr>
      </w:pPr>
      <w:r w:rsidRPr="00AF63AB">
        <w:rPr>
          <w:b/>
          <w:bCs/>
          <w:i/>
          <w:color w:val="008A00" w:themeColor="accent2"/>
          <w:lang w:val="en-GB"/>
        </w:rPr>
        <w:t>Carer Recognition Act 2010</w:t>
      </w:r>
    </w:p>
    <w:p w:rsidR="00AF63AB" w:rsidRPr="00AF63AB" w:rsidRDefault="00AF63AB" w:rsidP="00AF63AB">
      <w:pPr>
        <w:rPr>
          <w:lang w:val="en-GB"/>
        </w:rPr>
      </w:pPr>
      <w:r w:rsidRPr="00AF63AB">
        <w:rPr>
          <w:lang w:val="en-GB"/>
        </w:rPr>
        <w:t xml:space="preserve">An Act to provide for the recognition of carers, and for related purposes. </w:t>
      </w:r>
      <w:hyperlink r:id="rId48" w:history="1">
        <w:r w:rsidRPr="00AF63AB">
          <w:rPr>
            <w:rStyle w:val="Hyperlink"/>
            <w:lang w:val="en-GB"/>
          </w:rPr>
          <w:t>www.comlaw.gov.au/Details/C2010A00123</w:t>
        </w:r>
      </w:hyperlink>
    </w:p>
    <w:p w:rsidR="00AF63AB" w:rsidRPr="00AF63AB" w:rsidRDefault="00AF63AB" w:rsidP="00AF63AB">
      <w:pPr>
        <w:spacing w:before="240"/>
        <w:ind w:right="-285"/>
        <w:rPr>
          <w:b/>
          <w:bCs/>
          <w:i/>
          <w:color w:val="008A00" w:themeColor="accent2"/>
          <w:lang w:val="en-GB"/>
        </w:rPr>
      </w:pPr>
      <w:r w:rsidRPr="00AF63AB">
        <w:rPr>
          <w:b/>
          <w:bCs/>
          <w:i/>
          <w:color w:val="008A00" w:themeColor="accent2"/>
          <w:lang w:val="en-GB"/>
        </w:rPr>
        <w:t>Environment Protection and Biodiversity Conservation Act 1999 (EPBC Act)</w:t>
      </w:r>
    </w:p>
    <w:p w:rsidR="00AF63AB" w:rsidRPr="00AF63AB" w:rsidRDefault="00AF63AB" w:rsidP="00AF63AB">
      <w:pPr>
        <w:rPr>
          <w:lang w:val="en-GB"/>
        </w:rPr>
      </w:pPr>
      <w:r w:rsidRPr="00AF63AB">
        <w:rPr>
          <w:lang w:val="en-GB"/>
        </w:rPr>
        <w:t xml:space="preserve">The Australian Government’s central piece of environmental legislation. It provides a legal framework to protect and manage nationally and internationally important flora, fauna, ecological communities and heritage places—defined in the EPBC Act as matters of national environmental significance. </w:t>
      </w:r>
      <w:hyperlink r:id="rId49" w:history="1">
        <w:r w:rsidRPr="00AF63AB">
          <w:rPr>
            <w:rStyle w:val="Hyperlink"/>
            <w:lang w:val="en-GB"/>
          </w:rPr>
          <w:t>www.environment.gov.au/epbc/</w:t>
        </w:r>
      </w:hyperlink>
    </w:p>
    <w:p w:rsidR="00AF63AB" w:rsidRPr="00AF63AB" w:rsidRDefault="00AF63AB" w:rsidP="00AF63AB">
      <w:pPr>
        <w:spacing w:before="240"/>
        <w:rPr>
          <w:b/>
          <w:bCs/>
          <w:i/>
          <w:color w:val="008A00" w:themeColor="accent2"/>
          <w:lang w:val="en-GB"/>
        </w:rPr>
      </w:pPr>
      <w:r w:rsidRPr="00AF63AB">
        <w:rPr>
          <w:b/>
          <w:bCs/>
          <w:i/>
          <w:color w:val="008A00" w:themeColor="accent2"/>
          <w:lang w:val="en-GB"/>
        </w:rPr>
        <w:t>Emergency Department Service</w:t>
      </w:r>
    </w:p>
    <w:p w:rsidR="00AF63AB" w:rsidRPr="00AF63AB" w:rsidRDefault="00AF63AB" w:rsidP="00AF63AB">
      <w:pPr>
        <w:rPr>
          <w:lang w:val="en-GB"/>
        </w:rPr>
      </w:pPr>
      <w:r w:rsidRPr="00AF63AB">
        <w:rPr>
          <w:lang w:val="en-GB"/>
        </w:rPr>
        <w:t>The provision of care to a person by an Emergency Department.</w:t>
      </w:r>
    </w:p>
    <w:p w:rsidR="00AF63AB" w:rsidRPr="00AF63AB" w:rsidRDefault="00AF63AB" w:rsidP="00AF63AB">
      <w:pPr>
        <w:spacing w:before="240"/>
        <w:rPr>
          <w:b/>
          <w:bCs/>
          <w:i/>
          <w:color w:val="008A00" w:themeColor="accent2"/>
          <w:lang w:val="en-GB"/>
        </w:rPr>
      </w:pPr>
      <w:r w:rsidRPr="00AF63AB">
        <w:rPr>
          <w:b/>
          <w:bCs/>
          <w:i/>
          <w:color w:val="008A00" w:themeColor="accent2"/>
          <w:lang w:val="en-GB"/>
        </w:rPr>
        <w:t>Freedom of Information Act 1982</w:t>
      </w:r>
    </w:p>
    <w:p w:rsidR="00AF63AB" w:rsidRPr="00AF63AB" w:rsidRDefault="00AF63AB" w:rsidP="00AF63AB">
      <w:pPr>
        <w:rPr>
          <w:lang w:val="en-GB"/>
        </w:rPr>
      </w:pPr>
      <w:r w:rsidRPr="00AF63AB">
        <w:rPr>
          <w:lang w:val="en-GB"/>
        </w:rPr>
        <w:t xml:space="preserve">Gives members of the public rights of access to official documents of the Australian Government and of its agencies. </w:t>
      </w:r>
      <w:hyperlink r:id="rId50" w:history="1">
        <w:r w:rsidRPr="00AF63AB">
          <w:rPr>
            <w:rStyle w:val="Hyperlink"/>
            <w:lang w:val="en-GB"/>
          </w:rPr>
          <w:t>www.comlaw.gov.au/Series/C2004A02562</w:t>
        </w:r>
      </w:hyperlink>
    </w:p>
    <w:p w:rsidR="00AF63AB" w:rsidRPr="00AF63AB" w:rsidRDefault="00AF63AB" w:rsidP="00AF63AB">
      <w:pPr>
        <w:spacing w:before="240"/>
        <w:rPr>
          <w:b/>
          <w:bCs/>
          <w:i/>
          <w:color w:val="008A00" w:themeColor="accent2"/>
          <w:lang w:val="en-GB"/>
        </w:rPr>
      </w:pPr>
      <w:r w:rsidRPr="00AF63AB">
        <w:rPr>
          <w:b/>
          <w:bCs/>
          <w:i/>
          <w:color w:val="008A00" w:themeColor="accent2"/>
          <w:lang w:val="en-GB"/>
        </w:rPr>
        <w:t>Work Health and Safety Act 2011</w:t>
      </w:r>
    </w:p>
    <w:p w:rsidR="00AF63AB" w:rsidRPr="00AF63AB" w:rsidRDefault="00AF63AB" w:rsidP="00AF63AB">
      <w:pPr>
        <w:rPr>
          <w:lang w:val="en-GB"/>
        </w:rPr>
      </w:pPr>
      <w:r w:rsidRPr="00AF63AB">
        <w:rPr>
          <w:lang w:val="en-GB"/>
        </w:rPr>
        <w:t xml:space="preserve">An Act relating to work health and safety, and for related purposes. </w:t>
      </w:r>
      <w:hyperlink r:id="rId51" w:history="1">
        <w:r w:rsidRPr="00AF63AB">
          <w:rPr>
            <w:rStyle w:val="Hyperlink"/>
            <w:lang w:val="en-GB"/>
          </w:rPr>
          <w:t>www.comlaw.gov.au/Details/C2011A00137</w:t>
        </w:r>
      </w:hyperlink>
    </w:p>
    <w:p w:rsidR="00AF63AB" w:rsidRPr="00AF63AB" w:rsidRDefault="00AF63AB" w:rsidP="00AF63AB">
      <w:pPr>
        <w:spacing w:before="240"/>
        <w:rPr>
          <w:b/>
          <w:bCs/>
          <w:lang w:val="en-GB"/>
        </w:rPr>
      </w:pPr>
      <w:r w:rsidRPr="00AF63AB">
        <w:rPr>
          <w:b/>
          <w:bCs/>
          <w:color w:val="008A00" w:themeColor="accent2"/>
          <w:lang w:val="en-GB"/>
        </w:rPr>
        <w:t>Metadata</w:t>
      </w:r>
    </w:p>
    <w:p w:rsidR="00AF63AB" w:rsidRPr="00AF63AB" w:rsidRDefault="00AF63AB" w:rsidP="00AF63AB">
      <w:pPr>
        <w:rPr>
          <w:lang w:val="en-GB"/>
        </w:rPr>
      </w:pPr>
      <w:r w:rsidRPr="00AF63AB">
        <w:rPr>
          <w:lang w:val="en-GB"/>
        </w:rPr>
        <w:t>Is often called ‘data about data’. More precisely, it is the underlying definition or structured description of the content, quality, condition or other characteristics of data.</w:t>
      </w:r>
    </w:p>
    <w:p w:rsidR="00AF63AB" w:rsidRPr="00AF63AB" w:rsidRDefault="00AF63AB" w:rsidP="00AF63AB">
      <w:pPr>
        <w:spacing w:before="240"/>
        <w:rPr>
          <w:b/>
          <w:bCs/>
          <w:lang w:val="en-GB"/>
        </w:rPr>
      </w:pPr>
      <w:r w:rsidRPr="00AF63AB">
        <w:rPr>
          <w:b/>
          <w:bCs/>
          <w:color w:val="008A00" w:themeColor="accent2"/>
          <w:lang w:val="en-GB"/>
        </w:rPr>
        <w:t>METeOR</w:t>
      </w:r>
    </w:p>
    <w:p w:rsidR="00AF63AB" w:rsidRPr="00AF63AB" w:rsidRDefault="00AF63AB" w:rsidP="00AF63AB">
      <w:pPr>
        <w:rPr>
          <w:lang w:val="en-GB"/>
        </w:rPr>
      </w:pPr>
      <w:r w:rsidRPr="00AF63AB">
        <w:rPr>
          <w:lang w:val="en-GB"/>
        </w:rPr>
        <w:t>Australia’s repository for national metadata standards for health, housing and community services statistics and information.</w:t>
      </w:r>
    </w:p>
    <w:p w:rsidR="00AF63AB" w:rsidRPr="00AF63AB" w:rsidRDefault="00AF63AB" w:rsidP="00AF63AB">
      <w:pPr>
        <w:spacing w:before="240"/>
        <w:rPr>
          <w:b/>
          <w:bCs/>
          <w:color w:val="008A00" w:themeColor="accent2"/>
          <w:lang w:val="en-GB"/>
        </w:rPr>
      </w:pPr>
      <w:r w:rsidRPr="00AF63AB">
        <w:rPr>
          <w:b/>
          <w:bCs/>
          <w:color w:val="008A00" w:themeColor="accent2"/>
          <w:lang w:val="en-GB"/>
        </w:rPr>
        <w:t>National Efficient Price</w:t>
      </w:r>
    </w:p>
    <w:p w:rsidR="00AF63AB" w:rsidRPr="00AF63AB" w:rsidRDefault="00AF63AB" w:rsidP="00AF63AB">
      <w:pPr>
        <w:rPr>
          <w:lang w:val="en-GB"/>
        </w:rPr>
      </w:pPr>
      <w:r w:rsidRPr="00AF63AB">
        <w:rPr>
          <w:lang w:val="en-GB"/>
        </w:rPr>
        <w:t>The price that IHPA has determined as the price that will be paid for a NWAU.</w:t>
      </w:r>
    </w:p>
    <w:p w:rsidR="00AF63AB" w:rsidRPr="00AF63AB" w:rsidRDefault="00AF63AB" w:rsidP="00AF63AB">
      <w:pPr>
        <w:spacing w:before="240"/>
        <w:rPr>
          <w:b/>
          <w:bCs/>
          <w:i/>
          <w:color w:val="008A00" w:themeColor="accent2"/>
          <w:lang w:val="en-GB"/>
        </w:rPr>
      </w:pPr>
      <w:r w:rsidRPr="00AF63AB">
        <w:rPr>
          <w:b/>
          <w:bCs/>
          <w:i/>
          <w:color w:val="008A00" w:themeColor="accent2"/>
          <w:lang w:val="en-GB"/>
        </w:rPr>
        <w:t>National Health Reform Act 2011</w:t>
      </w:r>
    </w:p>
    <w:p w:rsidR="00AF63AB" w:rsidRPr="00AF63AB" w:rsidRDefault="00AF63AB" w:rsidP="00AF63AB">
      <w:pPr>
        <w:rPr>
          <w:lang w:val="en-GB"/>
        </w:rPr>
      </w:pPr>
      <w:r w:rsidRPr="00AF63AB">
        <w:rPr>
          <w:lang w:val="en-GB"/>
        </w:rPr>
        <w:t xml:space="preserve">An Act relating to National Health Reform based on the National Health Reform Agreement. </w:t>
      </w:r>
      <w:hyperlink r:id="rId52" w:history="1">
        <w:r w:rsidRPr="00AF63AB">
          <w:rPr>
            <w:rStyle w:val="Hyperlink"/>
            <w:lang w:val="en-GB"/>
          </w:rPr>
          <w:t>www.comlaw.gov.au/Details/C2011C00952</w:t>
        </w:r>
      </w:hyperlink>
      <w:r w:rsidRPr="00AF63AB">
        <w:rPr>
          <w:lang w:val="en-GB"/>
        </w:rPr>
        <w:t xml:space="preserve"> </w:t>
      </w:r>
    </w:p>
    <w:p w:rsidR="00AF63AB" w:rsidRPr="00AF63AB" w:rsidRDefault="00AF63AB" w:rsidP="00AF63AB">
      <w:pPr>
        <w:spacing w:before="240"/>
        <w:rPr>
          <w:b/>
          <w:bCs/>
          <w:color w:val="008A00" w:themeColor="accent2"/>
          <w:lang w:val="en-GB"/>
        </w:rPr>
      </w:pPr>
      <w:r w:rsidRPr="00AF63AB">
        <w:rPr>
          <w:b/>
          <w:bCs/>
          <w:color w:val="008A00" w:themeColor="accent2"/>
          <w:lang w:val="en-GB"/>
        </w:rPr>
        <w:t>National Weighted Activity Unit</w:t>
      </w:r>
    </w:p>
    <w:p w:rsidR="00AF63AB" w:rsidRPr="00AF63AB" w:rsidRDefault="00AF63AB" w:rsidP="00AF63AB">
      <w:pPr>
        <w:rPr>
          <w:lang w:val="en-GB"/>
        </w:rPr>
      </w:pPr>
      <w:r w:rsidRPr="00AF63AB">
        <w:rPr>
          <w:lang w:val="en-GB"/>
        </w:rPr>
        <w:t>The unit of measure in the national ABF system. It allows activity across different setting to be compared on the basis of resource use.</w:t>
      </w:r>
    </w:p>
    <w:p w:rsidR="00AF63AB" w:rsidRPr="00AF63AB" w:rsidRDefault="00AF63AB" w:rsidP="00AF63AB">
      <w:pPr>
        <w:spacing w:before="240"/>
        <w:rPr>
          <w:b/>
          <w:bCs/>
          <w:lang w:val="en-GB"/>
        </w:rPr>
      </w:pPr>
      <w:r w:rsidRPr="00AF63AB">
        <w:rPr>
          <w:b/>
          <w:bCs/>
          <w:color w:val="008A00" w:themeColor="accent2"/>
          <w:lang w:val="en-GB"/>
        </w:rPr>
        <w:t>Outer</w:t>
      </w:r>
      <w:r w:rsidRPr="00AF63AB">
        <w:rPr>
          <w:b/>
          <w:bCs/>
          <w:lang w:val="en-GB"/>
        </w:rPr>
        <w:t xml:space="preserve"> </w:t>
      </w:r>
      <w:r w:rsidRPr="00AF63AB">
        <w:rPr>
          <w:b/>
          <w:bCs/>
          <w:color w:val="008A00" w:themeColor="accent2"/>
          <w:lang w:val="en-GB"/>
        </w:rPr>
        <w:t>regional</w:t>
      </w:r>
    </w:p>
    <w:p w:rsidR="00AF63AB" w:rsidRPr="00AF63AB" w:rsidRDefault="00AF63AB" w:rsidP="00AF63AB">
      <w:pPr>
        <w:rPr>
          <w:lang w:val="en-GB"/>
        </w:rPr>
      </w:pPr>
      <w:r w:rsidRPr="00AF63AB">
        <w:rPr>
          <w:lang w:val="en-GB"/>
        </w:rPr>
        <w:t>An area that is classified as outer regional Australia by the ASGS.</w:t>
      </w:r>
    </w:p>
    <w:p w:rsidR="00AF63AB" w:rsidRPr="00AF63AB" w:rsidRDefault="00AF63AB" w:rsidP="00AF63AB">
      <w:pPr>
        <w:spacing w:before="240"/>
        <w:rPr>
          <w:b/>
          <w:bCs/>
          <w:i/>
          <w:color w:val="008A00" w:themeColor="accent2"/>
          <w:lang w:val="en-GB"/>
        </w:rPr>
      </w:pPr>
      <w:r w:rsidRPr="00AF63AB">
        <w:rPr>
          <w:b/>
          <w:bCs/>
          <w:i/>
          <w:color w:val="008A00" w:themeColor="accent2"/>
          <w:lang w:val="en-GB"/>
        </w:rPr>
        <w:t>Public Service Act 1999</w:t>
      </w:r>
    </w:p>
    <w:p w:rsidR="00AF63AB" w:rsidRPr="00AF63AB" w:rsidRDefault="00AF63AB" w:rsidP="00AF63AB">
      <w:pPr>
        <w:rPr>
          <w:lang w:val="en-GB"/>
        </w:rPr>
      </w:pPr>
      <w:r w:rsidRPr="00AF63AB">
        <w:rPr>
          <w:lang w:val="en-GB"/>
        </w:rPr>
        <w:t xml:space="preserve">The principal Act governing the establishment and operation of, and employment in, the Australian Public Service. </w:t>
      </w:r>
      <w:hyperlink r:id="rId53" w:history="1">
        <w:r w:rsidRPr="00AF63AB">
          <w:rPr>
            <w:rStyle w:val="Hyperlink"/>
            <w:lang w:val="en-GB"/>
          </w:rPr>
          <w:t>www.comlaw.gov.au/Series/C2004A00538</w:t>
        </w:r>
      </w:hyperlink>
    </w:p>
    <w:p w:rsidR="00AF63AB" w:rsidRPr="00AF63AB" w:rsidRDefault="00AF63AB" w:rsidP="00AF63AB">
      <w:pPr>
        <w:spacing w:before="240"/>
        <w:rPr>
          <w:b/>
          <w:bCs/>
          <w:i/>
          <w:color w:val="008A00" w:themeColor="accent2"/>
          <w:lang w:val="en-GB"/>
        </w:rPr>
      </w:pPr>
      <w:r w:rsidRPr="00AF63AB">
        <w:rPr>
          <w:b/>
          <w:bCs/>
          <w:i/>
          <w:color w:val="008A00" w:themeColor="accent2"/>
          <w:lang w:val="en-GB"/>
        </w:rPr>
        <w:t>Public Governance, Performance and Accountability Act 2013</w:t>
      </w:r>
    </w:p>
    <w:p w:rsidR="00AF63AB" w:rsidRPr="00AF63AB" w:rsidRDefault="00AF63AB" w:rsidP="00AF63AB">
      <w:pPr>
        <w:rPr>
          <w:lang w:val="en-GB"/>
        </w:rPr>
      </w:pPr>
      <w:r w:rsidRPr="00AF63AB">
        <w:rPr>
          <w:lang w:val="en-GB"/>
        </w:rPr>
        <w:t xml:space="preserve">The Act replaced the </w:t>
      </w:r>
      <w:r w:rsidRPr="00AF63AB">
        <w:rPr>
          <w:i/>
          <w:iCs/>
          <w:lang w:val="en-GB"/>
        </w:rPr>
        <w:t>Financial Management and Accountability Act 1997</w:t>
      </w:r>
      <w:r w:rsidRPr="00AF63AB">
        <w:rPr>
          <w:lang w:val="en-GB"/>
        </w:rPr>
        <w:t xml:space="preserve"> (FMA Act) and the </w:t>
      </w:r>
      <w:r w:rsidRPr="00AF63AB">
        <w:rPr>
          <w:i/>
          <w:iCs/>
          <w:lang w:val="en-GB"/>
        </w:rPr>
        <w:t>Commonwealth Authorities and Companies Act 1997</w:t>
      </w:r>
      <w:r w:rsidRPr="00AF63AB">
        <w:rPr>
          <w:lang w:val="en-GB"/>
        </w:rPr>
        <w:t xml:space="preserve"> (CAC Act) on 1 July 2014.</w:t>
      </w:r>
    </w:p>
    <w:p w:rsidR="00AF63AB" w:rsidRPr="00AF63AB" w:rsidRDefault="00AF63AB" w:rsidP="00AF63AB">
      <w:pPr>
        <w:spacing w:before="240"/>
        <w:rPr>
          <w:b/>
          <w:bCs/>
          <w:lang w:val="en-GB"/>
        </w:rPr>
      </w:pPr>
      <w:r w:rsidRPr="00AF63AB">
        <w:rPr>
          <w:b/>
          <w:bCs/>
          <w:color w:val="008A00" w:themeColor="accent2"/>
          <w:lang w:val="en-GB"/>
        </w:rPr>
        <w:t>Price</w:t>
      </w:r>
      <w:r w:rsidRPr="00AF63AB">
        <w:rPr>
          <w:b/>
          <w:bCs/>
          <w:lang w:val="en-GB"/>
        </w:rPr>
        <w:t xml:space="preserve"> </w:t>
      </w:r>
      <w:r w:rsidRPr="00AF63AB">
        <w:rPr>
          <w:b/>
          <w:bCs/>
          <w:color w:val="008A00" w:themeColor="accent2"/>
          <w:lang w:val="en-GB"/>
        </w:rPr>
        <w:t>Weight</w:t>
      </w:r>
    </w:p>
    <w:p w:rsidR="00AF63AB" w:rsidRPr="00AF63AB" w:rsidRDefault="00AF63AB" w:rsidP="00AF63AB">
      <w:pPr>
        <w:rPr>
          <w:lang w:val="en-GB"/>
        </w:rPr>
      </w:pPr>
      <w:r w:rsidRPr="00AF63AB">
        <w:rPr>
          <w:lang w:val="en-GB"/>
        </w:rPr>
        <w:t>The weight assigned to an ABF Activity.</w:t>
      </w:r>
    </w:p>
    <w:p w:rsidR="00AF63AB" w:rsidRPr="00AF63AB" w:rsidRDefault="00AF63AB" w:rsidP="00AF63AB">
      <w:pPr>
        <w:spacing w:before="240"/>
        <w:rPr>
          <w:b/>
          <w:bCs/>
          <w:lang w:val="en-GB"/>
        </w:rPr>
      </w:pPr>
      <w:r w:rsidRPr="00AF63AB">
        <w:rPr>
          <w:b/>
          <w:bCs/>
          <w:color w:val="008A00" w:themeColor="accent2"/>
          <w:lang w:val="en-GB"/>
        </w:rPr>
        <w:t>Remote</w:t>
      </w:r>
    </w:p>
    <w:p w:rsidR="00AF63AB" w:rsidRPr="00AF63AB" w:rsidRDefault="00AF63AB" w:rsidP="00AF63AB">
      <w:pPr>
        <w:rPr>
          <w:lang w:val="en-GB"/>
        </w:rPr>
      </w:pPr>
      <w:r w:rsidRPr="00AF63AB">
        <w:rPr>
          <w:lang w:val="en-GB"/>
        </w:rPr>
        <w:t>An area that is classified as remote Australia under the ASGS.</w:t>
      </w:r>
    </w:p>
    <w:p w:rsidR="00AF63AB" w:rsidRPr="00AF63AB" w:rsidRDefault="00AF63AB" w:rsidP="00AF63AB">
      <w:pPr>
        <w:spacing w:before="240"/>
        <w:rPr>
          <w:b/>
          <w:bCs/>
          <w:lang w:val="en-GB"/>
        </w:rPr>
      </w:pPr>
      <w:r w:rsidRPr="00AF63AB">
        <w:rPr>
          <w:b/>
          <w:bCs/>
          <w:color w:val="008A00" w:themeColor="accent2"/>
          <w:lang w:val="en-GB"/>
        </w:rPr>
        <w:t>Remoteness</w:t>
      </w:r>
      <w:r w:rsidRPr="00AF63AB">
        <w:rPr>
          <w:b/>
          <w:bCs/>
          <w:lang w:val="en-GB"/>
        </w:rPr>
        <w:t xml:space="preserve"> </w:t>
      </w:r>
      <w:r w:rsidRPr="00AF63AB">
        <w:rPr>
          <w:b/>
          <w:bCs/>
          <w:color w:val="008A00" w:themeColor="accent2"/>
          <w:lang w:val="en-GB"/>
        </w:rPr>
        <w:t>Area</w:t>
      </w:r>
      <w:r w:rsidRPr="00AF63AB">
        <w:rPr>
          <w:b/>
          <w:bCs/>
          <w:lang w:val="en-GB"/>
        </w:rPr>
        <w:t xml:space="preserve"> </w:t>
      </w:r>
      <w:r w:rsidRPr="00AF63AB">
        <w:rPr>
          <w:b/>
          <w:bCs/>
          <w:color w:val="008A00" w:themeColor="accent2"/>
          <w:lang w:val="en-GB"/>
        </w:rPr>
        <w:t>Adjustment</w:t>
      </w:r>
    </w:p>
    <w:p w:rsidR="00AF63AB" w:rsidRPr="00AF63AB" w:rsidRDefault="00AF63AB" w:rsidP="00AF63AB">
      <w:pPr>
        <w:rPr>
          <w:lang w:val="en-GB"/>
        </w:rPr>
      </w:pPr>
      <w:r w:rsidRPr="00AF63AB">
        <w:rPr>
          <w:lang w:val="en-GB"/>
        </w:rPr>
        <w:t>The Outer Regional Adjustment, the Remote Area Adjustment and the Very Remote Area Adjustment.</w:t>
      </w:r>
    </w:p>
    <w:p w:rsidR="00AF63AB" w:rsidRPr="00AF63AB" w:rsidRDefault="00AF63AB" w:rsidP="00AF63AB">
      <w:pPr>
        <w:spacing w:before="240"/>
        <w:rPr>
          <w:b/>
          <w:bCs/>
          <w:color w:val="008A00" w:themeColor="accent2"/>
          <w:lang w:val="en-GB"/>
        </w:rPr>
      </w:pPr>
      <w:r w:rsidRPr="00AF63AB">
        <w:rPr>
          <w:b/>
          <w:bCs/>
          <w:color w:val="008A00" w:themeColor="accent2"/>
          <w:lang w:val="en-GB"/>
        </w:rPr>
        <w:t>State</w:t>
      </w:r>
    </w:p>
    <w:p w:rsidR="00AF63AB" w:rsidRPr="00AF63AB" w:rsidRDefault="00AF63AB" w:rsidP="00AF63AB">
      <w:pPr>
        <w:rPr>
          <w:lang w:val="en-GB"/>
        </w:rPr>
      </w:pPr>
      <w:r w:rsidRPr="00AF63AB">
        <w:rPr>
          <w:lang w:val="en-GB"/>
        </w:rPr>
        <w:t>The state of New South Wales, the State of Victoria, the State of Queensland, the State of Western Australia, the State of South Australia, the State of Tasmania, the Australian Capital Territory and the Northern Territory of Australia, as applicable.</w:t>
      </w:r>
    </w:p>
    <w:p w:rsidR="00AF63AB" w:rsidRPr="00AF63AB" w:rsidRDefault="00AF63AB" w:rsidP="00AF63AB">
      <w:pPr>
        <w:spacing w:before="240"/>
        <w:rPr>
          <w:b/>
          <w:bCs/>
          <w:color w:val="008A00" w:themeColor="accent2"/>
          <w:lang w:val="en-GB"/>
        </w:rPr>
      </w:pPr>
      <w:r w:rsidRPr="00AF63AB">
        <w:rPr>
          <w:b/>
          <w:bCs/>
          <w:color w:val="008A00" w:themeColor="accent2"/>
          <w:lang w:val="en-GB"/>
        </w:rPr>
        <w:t>Tier 2</w:t>
      </w:r>
    </w:p>
    <w:p w:rsidR="00AF63AB" w:rsidRPr="00AF63AB" w:rsidRDefault="00AF63AB" w:rsidP="00AF63AB">
      <w:pPr>
        <w:rPr>
          <w:lang w:val="en-GB"/>
        </w:rPr>
      </w:pPr>
      <w:r w:rsidRPr="00AF63AB">
        <w:rPr>
          <w:lang w:val="en-GB"/>
        </w:rPr>
        <w:t>The classification system for non-admitted patients that IHPA is currently using.</w:t>
      </w:r>
    </w:p>
    <w:p w:rsidR="001B60D4" w:rsidRDefault="001B60D4" w:rsidP="00AF63AB">
      <w:r>
        <w:br w:type="page"/>
      </w:r>
    </w:p>
    <w:p w:rsidR="001B60D4" w:rsidRDefault="001B60D4" w:rsidP="001B60D4">
      <w:pPr>
        <w:pStyle w:val="Heading1"/>
      </w:pPr>
      <w:bookmarkStart w:id="50" w:name="_Toc432437404"/>
      <w:r w:rsidRPr="00A361C7">
        <w:rPr>
          <w:caps w:val="0"/>
          <w:color w:val="FFFFFF" w:themeColor="background1"/>
          <w:sz w:val="32"/>
          <w:szCs w:val="32"/>
        </w:rPr>
        <w:t>Appendix E</w:t>
      </w:r>
      <w:r>
        <w:rPr>
          <w:color w:val="FFFFFF" w:themeColor="background1"/>
        </w:rPr>
        <w:br/>
        <w:t>Compliance</w:t>
      </w:r>
      <w:r>
        <w:rPr>
          <w:color w:val="FFFFFF" w:themeColor="background1"/>
        </w:rPr>
        <w:br/>
      </w:r>
      <w:r w:rsidRPr="001B60D4">
        <w:rPr>
          <w:color w:val="FFFFFF" w:themeColor="background1"/>
        </w:rPr>
        <w:t>Index</w:t>
      </w:r>
      <w:r w:rsidRPr="004225DC">
        <w:rPr>
          <w:noProof/>
          <w:color w:val="FFFFFF" w:themeColor="background1"/>
        </w:rPr>
        <w:drawing>
          <wp:anchor distT="0" distB="0" distL="114300" distR="114300" simplePos="0" relativeHeight="251663360" behindDoc="1" locked="0" layoutInCell="0" allowOverlap="1" wp14:anchorId="74D4CFE9" wp14:editId="23391E60">
            <wp:simplePos x="0" y="0"/>
            <wp:positionH relativeFrom="page">
              <wp:align>left</wp:align>
            </wp:positionH>
            <wp:positionV relativeFrom="page">
              <wp:align>top</wp:align>
            </wp:positionV>
            <wp:extent cx="7560000" cy="1069200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bookmarkEnd w:id="50"/>
      <w:r>
        <w:br w:type="page"/>
      </w:r>
    </w:p>
    <w:tbl>
      <w:tblPr>
        <w:tblStyle w:val="DefaultTable"/>
        <w:tblW w:w="9214" w:type="dxa"/>
        <w:tblBorders>
          <w:insideH w:val="single" w:sz="4" w:space="0" w:color="auto"/>
        </w:tblBorders>
        <w:tblLayout w:type="fixed"/>
        <w:tblLook w:val="0220" w:firstRow="1" w:lastRow="0" w:firstColumn="0" w:lastColumn="0" w:noHBand="1" w:noVBand="0"/>
        <w:tblDescription w:val="COMPLIANCE INDEX"/>
      </w:tblPr>
      <w:tblGrid>
        <w:gridCol w:w="1985"/>
        <w:gridCol w:w="4394"/>
        <w:gridCol w:w="1701"/>
        <w:gridCol w:w="1134"/>
      </w:tblGrid>
      <w:tr w:rsidR="00391F86" w:rsidRPr="00391F86" w:rsidTr="002A30F0">
        <w:trPr>
          <w:cnfStyle w:val="100000000000" w:firstRow="1" w:lastRow="0" w:firstColumn="0" w:lastColumn="0" w:oddVBand="0" w:evenVBand="0" w:oddHBand="0" w:evenHBand="0" w:firstRowFirstColumn="0" w:firstRowLastColumn="0" w:lastRowFirstColumn="0" w:lastRowLastColumn="0"/>
          <w:trHeight w:val="340"/>
        </w:trPr>
        <w:tc>
          <w:tcPr>
            <w:tcW w:w="1985" w:type="dxa"/>
          </w:tcPr>
          <w:p w:rsidR="00391F86" w:rsidRPr="00391F86" w:rsidRDefault="00391F86" w:rsidP="00391F86">
            <w:pPr>
              <w:pStyle w:val="TableText"/>
              <w:rPr>
                <w:lang w:val="en-GB"/>
              </w:rPr>
            </w:pPr>
            <w:r w:rsidRPr="00391F86">
              <w:rPr>
                <w:lang w:val="en-GB"/>
              </w:rPr>
              <w:t>Part of Report</w:t>
            </w:r>
          </w:p>
        </w:tc>
        <w:tc>
          <w:tcPr>
            <w:tcW w:w="4394" w:type="dxa"/>
          </w:tcPr>
          <w:p w:rsidR="00391F86" w:rsidRPr="00391F86" w:rsidRDefault="00391F86" w:rsidP="00391F86">
            <w:pPr>
              <w:pStyle w:val="TableText"/>
              <w:rPr>
                <w:lang w:val="en-GB"/>
              </w:rPr>
            </w:pPr>
            <w:r w:rsidRPr="00391F86">
              <w:rPr>
                <w:lang w:val="en-GB"/>
              </w:rPr>
              <w:t>Description</w:t>
            </w:r>
          </w:p>
        </w:tc>
        <w:tc>
          <w:tcPr>
            <w:tcW w:w="1701" w:type="dxa"/>
          </w:tcPr>
          <w:p w:rsidR="00391F86" w:rsidRPr="00391F86" w:rsidRDefault="00391F86" w:rsidP="00391F86">
            <w:pPr>
              <w:pStyle w:val="TableText"/>
              <w:rPr>
                <w:lang w:val="en-GB"/>
              </w:rPr>
            </w:pPr>
            <w:r w:rsidRPr="00391F86">
              <w:rPr>
                <w:lang w:val="en-GB"/>
              </w:rPr>
              <w:t>Requirement</w:t>
            </w:r>
          </w:p>
        </w:tc>
        <w:tc>
          <w:tcPr>
            <w:tcW w:w="1134" w:type="dxa"/>
          </w:tcPr>
          <w:p w:rsidR="00391F86" w:rsidRPr="00391F86" w:rsidRDefault="00391F86" w:rsidP="00391F86">
            <w:pPr>
              <w:pStyle w:val="TableText"/>
              <w:jc w:val="center"/>
              <w:rPr>
                <w:lang w:val="en-GB"/>
              </w:rPr>
            </w:pPr>
            <w:r w:rsidRPr="00391F86">
              <w:rPr>
                <w:lang w:val="en-GB"/>
              </w:rPr>
              <w:t>Page</w:t>
            </w:r>
          </w:p>
        </w:tc>
      </w:tr>
      <w:tr w:rsidR="009A297E" w:rsidRPr="00391F86" w:rsidTr="002A30F0">
        <w:trPr>
          <w:trHeight w:val="340"/>
        </w:trPr>
        <w:tc>
          <w:tcPr>
            <w:tcW w:w="1985" w:type="dxa"/>
            <w:vMerge w:val="restart"/>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Letter of transmittal</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2</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Table of contents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3</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Index</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122</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Glossary</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391F86" w:rsidRDefault="009A297E" w:rsidP="0032530E">
            <w:pPr>
              <w:pStyle w:val="TableText"/>
              <w:jc w:val="center"/>
              <w:rPr>
                <w:lang w:val="en-GB"/>
              </w:rPr>
            </w:pPr>
            <w:r>
              <w:rPr>
                <w:lang w:val="en-GB"/>
              </w:rPr>
              <w:t>113</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Contact officer(s)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391F86" w:rsidRDefault="009A297E" w:rsidP="0032530E">
            <w:pPr>
              <w:pStyle w:val="TableText"/>
              <w:jc w:val="center"/>
              <w:rPr>
                <w:lang w:val="en-GB"/>
              </w:rPr>
            </w:pPr>
            <w:r w:rsidRPr="00391F86">
              <w:rPr>
                <w:lang w:val="en-GB"/>
              </w:rPr>
              <w:t>ii</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Internet home page address and Internet address for report</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391F86" w:rsidRDefault="009A297E" w:rsidP="0032530E">
            <w:pPr>
              <w:pStyle w:val="TableText"/>
              <w:jc w:val="center"/>
              <w:rPr>
                <w:lang w:val="en-GB"/>
              </w:rPr>
            </w:pPr>
            <w:r w:rsidRPr="00391F86">
              <w:rPr>
                <w:lang w:val="en-GB"/>
              </w:rPr>
              <w:t>ii</w:t>
            </w:r>
          </w:p>
        </w:tc>
      </w:tr>
      <w:tr w:rsidR="009A297E" w:rsidRPr="00391F86" w:rsidTr="002A30F0">
        <w:trPr>
          <w:trHeight w:val="340"/>
        </w:trPr>
        <w:tc>
          <w:tcPr>
            <w:tcW w:w="1985" w:type="dxa"/>
            <w:vMerge w:val="restart"/>
          </w:tcPr>
          <w:p w:rsidR="009A297E" w:rsidRPr="00391F86" w:rsidRDefault="009A297E" w:rsidP="00391F86">
            <w:pPr>
              <w:pStyle w:val="TableText"/>
              <w:rPr>
                <w:lang w:val="en-GB"/>
              </w:rPr>
            </w:pPr>
            <w:r w:rsidRPr="00391F86">
              <w:rPr>
                <w:lang w:val="en-GB"/>
              </w:rPr>
              <w:t>Review by Secretary (CEO)</w:t>
            </w:r>
          </w:p>
        </w:tc>
        <w:tc>
          <w:tcPr>
            <w:tcW w:w="4394" w:type="dxa"/>
          </w:tcPr>
          <w:p w:rsidR="009A297E" w:rsidRPr="00391F86" w:rsidRDefault="009A297E" w:rsidP="00391F86">
            <w:pPr>
              <w:pStyle w:val="TableText"/>
              <w:rPr>
                <w:lang w:val="en-GB"/>
              </w:rPr>
            </w:pPr>
            <w:r w:rsidRPr="00391F86">
              <w:rPr>
                <w:lang w:val="en-GB"/>
              </w:rPr>
              <w:t xml:space="preserve">Review by departmental secretary (CEO) </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767F01" w:rsidRDefault="009A297E" w:rsidP="0032530E">
            <w:pPr>
              <w:pStyle w:val="TableText"/>
              <w:jc w:val="center"/>
              <w:rPr>
                <w:lang w:val="en-GB"/>
              </w:rPr>
            </w:pPr>
            <w:r w:rsidRPr="00767F01">
              <w:rPr>
                <w:lang w:val="en-GB"/>
              </w:rPr>
              <w:t>15</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Summary of significant issues and developments</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767F01" w:rsidRDefault="009A297E" w:rsidP="0032530E">
            <w:pPr>
              <w:pStyle w:val="TableText"/>
              <w:jc w:val="center"/>
              <w:rPr>
                <w:lang w:val="en-GB"/>
              </w:rPr>
            </w:pPr>
            <w:r w:rsidRPr="00767F01">
              <w:rPr>
                <w:lang w:val="en-GB"/>
              </w:rPr>
              <w:t>16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Overview of department’s performance and financial results</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767F01" w:rsidRDefault="009A297E" w:rsidP="0032530E">
            <w:pPr>
              <w:pStyle w:val="TableText"/>
              <w:jc w:val="center"/>
              <w:rPr>
                <w:lang w:val="en-GB"/>
              </w:rPr>
            </w:pPr>
            <w:r w:rsidRPr="00767F01">
              <w:rPr>
                <w:lang w:val="en-GB"/>
              </w:rPr>
              <w:t>43–51, 73</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Outlook for following year</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767F01" w:rsidRDefault="009A297E" w:rsidP="0032530E">
            <w:pPr>
              <w:pStyle w:val="TableText"/>
              <w:jc w:val="center"/>
              <w:rPr>
                <w:lang w:val="en-GB"/>
              </w:rPr>
            </w:pPr>
            <w:r w:rsidRPr="00767F01">
              <w:rPr>
                <w:lang w:val="en-GB"/>
              </w:rPr>
              <w:t>18</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Significant issues and developments—portfolio</w:t>
            </w:r>
          </w:p>
        </w:tc>
        <w:tc>
          <w:tcPr>
            <w:tcW w:w="1701" w:type="dxa"/>
          </w:tcPr>
          <w:p w:rsidR="009A297E" w:rsidRPr="00391F86" w:rsidRDefault="009A297E" w:rsidP="00391F86">
            <w:pPr>
              <w:pStyle w:val="TableText"/>
              <w:rPr>
                <w:lang w:val="en-GB"/>
              </w:rPr>
            </w:pPr>
            <w:r w:rsidRPr="00391F86">
              <w:rPr>
                <w:lang w:val="en-GB"/>
              </w:rPr>
              <w:t>Portfolio departments –suggested</w:t>
            </w:r>
          </w:p>
        </w:tc>
        <w:tc>
          <w:tcPr>
            <w:tcW w:w="1134" w:type="dxa"/>
          </w:tcPr>
          <w:p w:rsidR="009A297E" w:rsidRPr="00767F01" w:rsidRDefault="009A297E" w:rsidP="0032530E">
            <w:pPr>
              <w:pStyle w:val="TableText"/>
              <w:jc w:val="center"/>
              <w:rPr>
                <w:lang w:val="en-GB"/>
              </w:rPr>
            </w:pPr>
            <w:r w:rsidRPr="00767F01">
              <w:rPr>
                <w:lang w:val="en-GB"/>
              </w:rPr>
              <w:t xml:space="preserve">10–11, </w:t>
            </w:r>
            <w:r w:rsidRPr="00767F01">
              <w:rPr>
                <w:lang w:val="en-GB"/>
              </w:rPr>
              <w:br/>
              <w:t>43–51</w:t>
            </w:r>
          </w:p>
        </w:tc>
      </w:tr>
      <w:tr w:rsidR="009A297E" w:rsidRPr="00391F86" w:rsidTr="002A30F0">
        <w:trPr>
          <w:trHeight w:val="340"/>
        </w:trPr>
        <w:tc>
          <w:tcPr>
            <w:tcW w:w="1985" w:type="dxa"/>
            <w:vMerge w:val="restart"/>
            <w:shd w:val="clear" w:color="auto" w:fill="E6E7E9"/>
          </w:tcPr>
          <w:p w:rsidR="009A297E" w:rsidRPr="00391F86" w:rsidRDefault="009A297E" w:rsidP="00391F86">
            <w:pPr>
              <w:pStyle w:val="TableText"/>
              <w:rPr>
                <w:lang w:val="en-GB"/>
              </w:rPr>
            </w:pPr>
            <w:r w:rsidRPr="00391F86">
              <w:rPr>
                <w:lang w:val="en-GB"/>
              </w:rPr>
              <w:t>Departmental Overview</w:t>
            </w:r>
          </w:p>
        </w:tc>
        <w:tc>
          <w:tcPr>
            <w:tcW w:w="4394" w:type="dxa"/>
            <w:shd w:val="clear" w:color="auto" w:fill="E6E7E9"/>
          </w:tcPr>
          <w:p w:rsidR="009A297E" w:rsidRPr="00391F86" w:rsidRDefault="009A297E" w:rsidP="00391F86">
            <w:pPr>
              <w:pStyle w:val="TableText"/>
              <w:rPr>
                <w:lang w:val="en-GB"/>
              </w:rPr>
            </w:pPr>
            <w:r w:rsidRPr="00391F86">
              <w:rPr>
                <w:lang w:val="en-GB"/>
              </w:rPr>
              <w:t>Role and functions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19–23</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Organisational structure</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17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Outcome and program structure</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Default="009A297E" w:rsidP="0032530E">
            <w:pPr>
              <w:pStyle w:val="TableText"/>
              <w:jc w:val="center"/>
              <w:rPr>
                <w:lang w:val="en-GB"/>
              </w:rPr>
            </w:pPr>
            <w:r>
              <w:rPr>
                <w:lang w:val="en-GB"/>
              </w:rPr>
              <w:t>36-46</w:t>
            </w:r>
          </w:p>
          <w:p w:rsidR="009A297E" w:rsidRPr="00391F86" w:rsidRDefault="009A297E" w:rsidP="0032530E">
            <w:pPr>
              <w:pStyle w:val="TableText"/>
              <w:jc w:val="center"/>
              <w:rPr>
                <w:lang w:val="en-GB"/>
              </w:rPr>
            </w:pPr>
            <w:r w:rsidRPr="00767F01">
              <w:rPr>
                <w:lang w:val="en-GB"/>
              </w:rPr>
              <w:tab/>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Where outcome and program structures differ from PB Statements/PAES or other portfolio statements accompanying any other additional appropriation bills (other portfolio statements), details of variation and reasons for change</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N/A</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Portfolio structure</w:t>
            </w:r>
          </w:p>
        </w:tc>
        <w:tc>
          <w:tcPr>
            <w:tcW w:w="1701" w:type="dxa"/>
            <w:shd w:val="clear" w:color="auto" w:fill="E6E7E9"/>
          </w:tcPr>
          <w:p w:rsidR="009A297E" w:rsidRPr="00391F86" w:rsidRDefault="009A297E" w:rsidP="00391F86">
            <w:pPr>
              <w:pStyle w:val="TableText"/>
              <w:rPr>
                <w:lang w:val="en-GB"/>
              </w:rPr>
            </w:pPr>
            <w:r w:rsidRPr="00391F86">
              <w:rPr>
                <w:lang w:val="en-GB"/>
              </w:rPr>
              <w:t>Portfolio departments – mandatory</w:t>
            </w:r>
          </w:p>
        </w:tc>
        <w:tc>
          <w:tcPr>
            <w:tcW w:w="1134" w:type="dxa"/>
            <w:shd w:val="clear" w:color="auto" w:fill="E6E7E9"/>
          </w:tcPr>
          <w:p w:rsidR="009A297E" w:rsidRPr="00767F01" w:rsidRDefault="009A297E" w:rsidP="0032530E">
            <w:pPr>
              <w:pStyle w:val="TableText"/>
              <w:jc w:val="center"/>
              <w:rPr>
                <w:lang w:val="en-GB"/>
              </w:rPr>
            </w:pPr>
            <w:r w:rsidRPr="00767F01">
              <w:rPr>
                <w:lang w:val="en-GB"/>
              </w:rPr>
              <w:t>12–32</w:t>
            </w:r>
          </w:p>
        </w:tc>
      </w:tr>
      <w:tr w:rsidR="009A297E" w:rsidRPr="00391F86" w:rsidTr="002A30F0">
        <w:trPr>
          <w:trHeight w:val="340"/>
        </w:trPr>
        <w:tc>
          <w:tcPr>
            <w:tcW w:w="1985" w:type="dxa"/>
            <w:vMerge w:val="restart"/>
          </w:tcPr>
          <w:p w:rsidR="009A297E" w:rsidRPr="00391F86" w:rsidRDefault="009A297E" w:rsidP="00391F86">
            <w:pPr>
              <w:pStyle w:val="TableText"/>
              <w:rPr>
                <w:lang w:val="en-GB"/>
              </w:rPr>
            </w:pPr>
            <w:r>
              <w:rPr>
                <w:lang w:val="en-GB"/>
              </w:rPr>
              <w:t>Report on Performance</w:t>
            </w:r>
          </w:p>
        </w:tc>
        <w:tc>
          <w:tcPr>
            <w:tcW w:w="4394" w:type="dxa"/>
          </w:tcPr>
          <w:p w:rsidR="009A297E" w:rsidRPr="00391F86" w:rsidRDefault="009A297E" w:rsidP="00391F86">
            <w:pPr>
              <w:pStyle w:val="TableText"/>
              <w:rPr>
                <w:lang w:val="en-GB"/>
              </w:rPr>
            </w:pPr>
            <w:r w:rsidRPr="00391F86">
              <w:rPr>
                <w:lang w:val="en-GB"/>
              </w:rPr>
              <w:t>Review of performance during the year in relation to programs and contribution to outcomes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36-46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Actual performance in relation to deliverables and KPIs set out in PB Statements/PAES or other portfolio statements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36-46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Where performance targets differ from the PBS/ PAES, details of both former and new targets, and reasons for the change</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sidRPr="00391F86">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Narrative discussion and analysis of performance</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36-46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Trend information</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sidRPr="00391F86">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Significant changes in nature of principal functions/ services</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391F86" w:rsidRDefault="009A297E" w:rsidP="0032530E">
            <w:pPr>
              <w:pStyle w:val="TableText"/>
              <w:jc w:val="center"/>
              <w:rPr>
                <w:lang w:val="en-GB"/>
              </w:rPr>
            </w:pPr>
            <w:r w:rsidRPr="00391F86">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 xml:space="preserve">Performance of purchaser/provider arrangements </w:t>
            </w:r>
          </w:p>
        </w:tc>
        <w:tc>
          <w:tcPr>
            <w:tcW w:w="1701" w:type="dxa"/>
          </w:tcPr>
          <w:p w:rsidR="009A297E" w:rsidRPr="00391F86" w:rsidRDefault="009A297E" w:rsidP="00391F86">
            <w:pPr>
              <w:pStyle w:val="TableText"/>
              <w:rPr>
                <w:lang w:val="en-GB"/>
              </w:rPr>
            </w:pPr>
            <w:r w:rsidRPr="00391F86">
              <w:rPr>
                <w:lang w:val="en-GB"/>
              </w:rPr>
              <w:t xml:space="preserve">If applicable, suggested </w:t>
            </w:r>
          </w:p>
        </w:tc>
        <w:tc>
          <w:tcPr>
            <w:tcW w:w="1134" w:type="dxa"/>
          </w:tcPr>
          <w:p w:rsidR="009A297E" w:rsidRPr="00391F86" w:rsidRDefault="009A297E" w:rsidP="0032530E">
            <w:pPr>
              <w:pStyle w:val="TableText"/>
              <w:jc w:val="center"/>
              <w:rPr>
                <w:lang w:val="en-GB"/>
              </w:rPr>
            </w:pPr>
            <w:r>
              <w:rPr>
                <w:lang w:val="en-GB"/>
              </w:rPr>
              <w:t>54</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Factors, events or trends influencing departmental performance</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391F86" w:rsidRDefault="009A297E" w:rsidP="0032530E">
            <w:pPr>
              <w:pStyle w:val="TableText"/>
              <w:jc w:val="center"/>
              <w:rPr>
                <w:lang w:val="en-GB"/>
              </w:rPr>
            </w:pPr>
            <w:r w:rsidRPr="00391F86">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Contribution of risk management in achieving objectives</w:t>
            </w:r>
          </w:p>
        </w:tc>
        <w:tc>
          <w:tcPr>
            <w:tcW w:w="1701" w:type="dxa"/>
          </w:tcPr>
          <w:p w:rsidR="009A297E" w:rsidRPr="00391F86" w:rsidRDefault="009A297E" w:rsidP="00391F86">
            <w:pPr>
              <w:pStyle w:val="TableText"/>
              <w:rPr>
                <w:lang w:val="en-GB"/>
              </w:rPr>
            </w:pPr>
            <w:r w:rsidRPr="00391F86">
              <w:rPr>
                <w:lang w:val="en-GB"/>
              </w:rPr>
              <w:t>Suggested</w:t>
            </w:r>
          </w:p>
        </w:tc>
        <w:tc>
          <w:tcPr>
            <w:tcW w:w="1134" w:type="dxa"/>
          </w:tcPr>
          <w:p w:rsidR="009A297E" w:rsidRPr="00391F86" w:rsidRDefault="009A297E" w:rsidP="0032530E">
            <w:pPr>
              <w:pStyle w:val="TableText"/>
              <w:jc w:val="center"/>
              <w:rPr>
                <w:lang w:val="en-GB"/>
              </w:rPr>
            </w:pPr>
            <w:r>
              <w:rPr>
                <w:lang w:val="en-GB"/>
              </w:rPr>
              <w:t>47 - 56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Performance against service charter customer service standards, complaints data, and the department’s response to complaints</w:t>
            </w:r>
          </w:p>
        </w:tc>
        <w:tc>
          <w:tcPr>
            <w:tcW w:w="1701" w:type="dxa"/>
          </w:tcPr>
          <w:p w:rsidR="009A297E" w:rsidRPr="00391F86" w:rsidRDefault="009A297E" w:rsidP="00391F86">
            <w:pPr>
              <w:pStyle w:val="TableText"/>
              <w:rPr>
                <w:lang w:val="en-GB"/>
              </w:rPr>
            </w:pPr>
            <w:r w:rsidRPr="00391F86">
              <w:rPr>
                <w:lang w:val="en-GB"/>
              </w:rPr>
              <w:t>If applicable, mandatory</w:t>
            </w:r>
          </w:p>
        </w:tc>
        <w:tc>
          <w:tcPr>
            <w:tcW w:w="1134" w:type="dxa"/>
          </w:tcPr>
          <w:p w:rsidR="009A297E" w:rsidRPr="00391F86" w:rsidRDefault="009A297E" w:rsidP="0032530E">
            <w:pPr>
              <w:pStyle w:val="TableText"/>
              <w:jc w:val="center"/>
              <w:rPr>
                <w:lang w:val="en-GB"/>
              </w:rPr>
            </w:pPr>
            <w:r w:rsidRPr="00391F86">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Discussion and analysis of the department’s response to complaints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 xml:space="preserve">47 </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Discussion of any significant changes in financial results from the prior year, from budget or anticipated to have a significant impact on future operations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65</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Agency resource statement and summary resource tables by outcomes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109</w:t>
            </w:r>
          </w:p>
        </w:tc>
      </w:tr>
      <w:tr w:rsidR="009A297E" w:rsidRPr="00391F86" w:rsidTr="002A30F0">
        <w:trPr>
          <w:trHeight w:val="340"/>
        </w:trPr>
        <w:tc>
          <w:tcPr>
            <w:tcW w:w="1985" w:type="dxa"/>
            <w:vMerge w:val="restart"/>
            <w:shd w:val="clear" w:color="auto" w:fill="E6E7E9"/>
          </w:tcPr>
          <w:p w:rsidR="009A297E" w:rsidRPr="00391F86" w:rsidRDefault="009A297E" w:rsidP="00391F86">
            <w:pPr>
              <w:pStyle w:val="TableText"/>
              <w:rPr>
                <w:lang w:val="en-GB"/>
              </w:rPr>
            </w:pPr>
            <w:r w:rsidRPr="00391F86">
              <w:rPr>
                <w:lang w:val="en-GB"/>
              </w:rPr>
              <w:t>Corporate Governance</w:t>
            </w:r>
          </w:p>
        </w:tc>
        <w:tc>
          <w:tcPr>
            <w:tcW w:w="4394" w:type="dxa"/>
            <w:shd w:val="clear" w:color="auto" w:fill="E6E7E9"/>
          </w:tcPr>
          <w:p w:rsidR="009A297E" w:rsidRPr="00391F86" w:rsidRDefault="009A297E" w:rsidP="00391F86">
            <w:pPr>
              <w:pStyle w:val="TableText"/>
              <w:rPr>
                <w:lang w:val="en-GB"/>
              </w:rPr>
            </w:pPr>
            <w:r w:rsidRPr="00391F86">
              <w:rPr>
                <w:lang w:val="en-GB"/>
              </w:rPr>
              <w:t>Agency heads are required to certify that their agency complies with the Commonwealth Fraud Control Guidelines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391F86" w:rsidRDefault="009A297E" w:rsidP="0032530E">
            <w:pPr>
              <w:pStyle w:val="TableText"/>
              <w:jc w:val="center"/>
              <w:rPr>
                <w:lang w:val="en-GB"/>
              </w:rPr>
            </w:pPr>
            <w:r>
              <w:rPr>
                <w:lang w:val="en-GB"/>
              </w:rPr>
              <w:t>47, 49- 56</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Statement of the main corporate governance practices in place</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391F86" w:rsidRDefault="009A297E" w:rsidP="0032530E">
            <w:pPr>
              <w:pStyle w:val="TableText"/>
              <w:jc w:val="center"/>
              <w:rPr>
                <w:lang w:val="en-GB"/>
              </w:rPr>
            </w:pPr>
            <w:r>
              <w:rPr>
                <w:lang w:val="en-GB"/>
              </w:rPr>
              <w:t>47-56</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Names of the senior executive and their responsibilities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391F86" w:rsidRDefault="009A297E" w:rsidP="0032530E">
            <w:pPr>
              <w:pStyle w:val="TableText"/>
              <w:jc w:val="center"/>
              <w:rPr>
                <w:lang w:val="en-GB"/>
              </w:rPr>
            </w:pPr>
            <w:r>
              <w:rPr>
                <w:lang w:val="en-GB"/>
              </w:rPr>
              <w:t>17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Senior management committees and their roles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391F86" w:rsidRDefault="009A297E" w:rsidP="0032530E">
            <w:pPr>
              <w:pStyle w:val="TableText"/>
              <w:jc w:val="center"/>
              <w:rPr>
                <w:lang w:val="en-GB"/>
              </w:rPr>
            </w:pPr>
            <w:r>
              <w:rPr>
                <w:lang w:val="en-GB"/>
              </w:rPr>
              <w:t>17 - 28</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Corporate and operational plans and associated performance reporting and review</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391F86" w:rsidRDefault="009A297E" w:rsidP="0032530E">
            <w:pPr>
              <w:pStyle w:val="TableText"/>
              <w:jc w:val="center"/>
              <w:rPr>
                <w:lang w:val="en-GB"/>
              </w:rPr>
            </w:pPr>
            <w:r>
              <w:rPr>
                <w:lang w:val="en-GB"/>
              </w:rPr>
              <w:t>47 - 56</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Internal audit arrangements including approach adopted to identifying areas of significant financial or operational risk and arrangements to manage those risks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391F86" w:rsidRDefault="009A297E" w:rsidP="0032530E">
            <w:pPr>
              <w:pStyle w:val="TableText"/>
              <w:jc w:val="center"/>
              <w:rPr>
                <w:lang w:val="en-GB"/>
              </w:rPr>
            </w:pPr>
            <w:r>
              <w:rPr>
                <w:lang w:val="en-GB"/>
              </w:rPr>
              <w:t>47 - 56</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Policy and practices on the establishment and maintenance of appropriate ethical standards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391F86" w:rsidRDefault="009A297E" w:rsidP="0032530E">
            <w:pPr>
              <w:pStyle w:val="TableText"/>
              <w:jc w:val="center"/>
              <w:rPr>
                <w:lang w:val="en-GB"/>
              </w:rPr>
            </w:pPr>
            <w:r>
              <w:rPr>
                <w:lang w:val="en-GB"/>
              </w:rPr>
              <w:t>61</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How nature and amount of remuneration for SES officers is determined</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59</w:t>
            </w:r>
          </w:p>
        </w:tc>
      </w:tr>
      <w:tr w:rsidR="009A297E" w:rsidRPr="00391F86" w:rsidTr="002A30F0">
        <w:trPr>
          <w:trHeight w:val="340"/>
        </w:trPr>
        <w:tc>
          <w:tcPr>
            <w:tcW w:w="1985" w:type="dxa"/>
            <w:vMerge w:val="restart"/>
          </w:tcPr>
          <w:p w:rsidR="009A297E" w:rsidRPr="00391F86" w:rsidRDefault="009A297E" w:rsidP="00391F86">
            <w:pPr>
              <w:pStyle w:val="TableText"/>
              <w:rPr>
                <w:lang w:val="en-GB"/>
              </w:rPr>
            </w:pPr>
            <w:r w:rsidRPr="00391F86">
              <w:rPr>
                <w:lang w:val="en-GB"/>
              </w:rPr>
              <w:t>External Scrutiny</w:t>
            </w:r>
          </w:p>
        </w:tc>
        <w:tc>
          <w:tcPr>
            <w:tcW w:w="4394" w:type="dxa"/>
          </w:tcPr>
          <w:p w:rsidR="009A297E" w:rsidRPr="00391F86" w:rsidRDefault="009A297E" w:rsidP="00391F86">
            <w:pPr>
              <w:pStyle w:val="TableText"/>
              <w:rPr>
                <w:lang w:val="en-GB"/>
              </w:rPr>
            </w:pPr>
            <w:r w:rsidRPr="00391F86">
              <w:rPr>
                <w:lang w:val="en-GB"/>
              </w:rPr>
              <w:t>Significant developments in external scrutiny</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Judicial decisions and decisions of administrative tribunals and by the Australian Information Commissioner</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2A30F0">
            <w:pPr>
              <w:pStyle w:val="TableText"/>
              <w:rPr>
                <w:lang w:val="en-GB"/>
              </w:rPr>
            </w:pPr>
            <w:r w:rsidRPr="00391F86">
              <w:rPr>
                <w:lang w:val="en-GB"/>
              </w:rPr>
              <w:t>Reports by the Auditor-General, a Parliamentary Committee or Commonwealth Ombudsman or an agency capability review</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391F86" w:rsidRDefault="009A297E" w:rsidP="0032530E">
            <w:pPr>
              <w:pStyle w:val="TableText"/>
              <w:jc w:val="center"/>
              <w:rPr>
                <w:lang w:val="en-GB"/>
              </w:rPr>
            </w:pPr>
            <w:r>
              <w:rPr>
                <w:lang w:val="en-GB"/>
              </w:rPr>
              <w:t>66-67</w:t>
            </w:r>
          </w:p>
        </w:tc>
      </w:tr>
      <w:tr w:rsidR="009A297E" w:rsidRPr="00391F86" w:rsidTr="002A30F0">
        <w:trPr>
          <w:trHeight w:val="340"/>
        </w:trPr>
        <w:tc>
          <w:tcPr>
            <w:tcW w:w="1985" w:type="dxa"/>
            <w:vMerge w:val="restart"/>
            <w:shd w:val="clear" w:color="auto" w:fill="E6E7E9"/>
          </w:tcPr>
          <w:p w:rsidR="009A297E" w:rsidRPr="00391F86" w:rsidRDefault="009A297E" w:rsidP="00391F86">
            <w:pPr>
              <w:pStyle w:val="TableText"/>
              <w:rPr>
                <w:lang w:val="en-GB"/>
              </w:rPr>
            </w:pPr>
            <w:r w:rsidRPr="00391F86">
              <w:rPr>
                <w:lang w:val="en-GB"/>
              </w:rPr>
              <w:t>Management of Human Resources</w:t>
            </w:r>
          </w:p>
        </w:tc>
        <w:tc>
          <w:tcPr>
            <w:tcW w:w="4394" w:type="dxa"/>
            <w:shd w:val="clear" w:color="auto" w:fill="E6E7E9"/>
          </w:tcPr>
          <w:p w:rsidR="009A297E" w:rsidRPr="00391F86" w:rsidRDefault="009A297E" w:rsidP="00391F86">
            <w:pPr>
              <w:pStyle w:val="TableText"/>
              <w:rPr>
                <w:lang w:val="en-GB"/>
              </w:rPr>
            </w:pPr>
            <w:r w:rsidRPr="00391F86">
              <w:rPr>
                <w:lang w:val="en-GB"/>
              </w:rPr>
              <w:t>Assessment of effectiveness in managing and developing human resources to achieve departmental objectives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56-57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Workforce planning, staff turnover and retention</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56-57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Impact and features of enterprise or collective agreements, individual flexibility arrangements (IFAs), determinations, common law contracts and Australian Workplace Agreements (AWAs)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Training and development undertaken and its impact</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56-57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Work health and safety performance</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56-57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Productivity gains</w:t>
            </w:r>
          </w:p>
        </w:tc>
        <w:tc>
          <w:tcPr>
            <w:tcW w:w="1701" w:type="dxa"/>
            <w:shd w:val="clear" w:color="auto" w:fill="E6E7E9"/>
          </w:tcPr>
          <w:p w:rsidR="009A297E" w:rsidRPr="00391F86" w:rsidRDefault="009A297E" w:rsidP="00391F86">
            <w:pPr>
              <w:pStyle w:val="TableText"/>
              <w:rPr>
                <w:lang w:val="en-GB"/>
              </w:rPr>
            </w:pPr>
            <w:r w:rsidRPr="00391F86">
              <w:rPr>
                <w:lang w:val="en-GB"/>
              </w:rPr>
              <w:t>Suggested</w:t>
            </w:r>
          </w:p>
        </w:tc>
        <w:tc>
          <w:tcPr>
            <w:tcW w:w="1134" w:type="dxa"/>
            <w:shd w:val="clear" w:color="auto" w:fill="E6E7E9"/>
          </w:tcPr>
          <w:p w:rsidR="009A297E" w:rsidRPr="004C348D" w:rsidRDefault="009A297E" w:rsidP="0032530E">
            <w:pPr>
              <w:pStyle w:val="TableText"/>
              <w:jc w:val="center"/>
              <w:rPr>
                <w:lang w:val="en-GB"/>
              </w:rPr>
            </w:pPr>
            <w:r w:rsidRPr="004C348D">
              <w:rPr>
                <w:lang w:val="en-GB"/>
              </w:rPr>
              <w:t>N/A</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Statistics on staffing</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56-57</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Enterprise or collective agreements, IFAs, determinations, common law contracts and AWAs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Indigenous employment</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shd w:val="clear" w:color="auto" w:fill="E6E7E9"/>
          </w:tcPr>
          <w:p w:rsidR="009A297E" w:rsidRPr="00391F86" w:rsidRDefault="009A297E" w:rsidP="00391F86">
            <w:pPr>
              <w:pStyle w:val="TableText"/>
            </w:pPr>
          </w:p>
        </w:tc>
        <w:tc>
          <w:tcPr>
            <w:tcW w:w="4394" w:type="dxa"/>
            <w:shd w:val="clear" w:color="auto" w:fill="E6E7E9"/>
          </w:tcPr>
          <w:p w:rsidR="009A297E" w:rsidRPr="00391F86" w:rsidRDefault="009A297E" w:rsidP="00391F86">
            <w:pPr>
              <w:pStyle w:val="TableText"/>
              <w:rPr>
                <w:lang w:val="en-GB"/>
              </w:rPr>
            </w:pPr>
            <w:r w:rsidRPr="00391F86">
              <w:rPr>
                <w:lang w:val="en-GB"/>
              </w:rPr>
              <w:t>Performance pay</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tcPr>
          <w:p w:rsidR="009A297E" w:rsidRPr="00391F86" w:rsidRDefault="009A297E" w:rsidP="00391F86">
            <w:pPr>
              <w:pStyle w:val="TableText"/>
              <w:rPr>
                <w:lang w:val="en-GB"/>
              </w:rPr>
            </w:pPr>
            <w:r w:rsidRPr="00391F86">
              <w:rPr>
                <w:lang w:val="en-GB"/>
              </w:rPr>
              <w:t>Assets management</w:t>
            </w:r>
          </w:p>
        </w:tc>
        <w:tc>
          <w:tcPr>
            <w:tcW w:w="4394" w:type="dxa"/>
          </w:tcPr>
          <w:p w:rsidR="009A297E" w:rsidRPr="00391F86" w:rsidRDefault="009A297E" w:rsidP="00391F86">
            <w:pPr>
              <w:pStyle w:val="TableText"/>
              <w:rPr>
                <w:lang w:val="en-GB"/>
              </w:rPr>
            </w:pPr>
            <w:r w:rsidRPr="00391F86">
              <w:rPr>
                <w:lang w:val="en-GB"/>
              </w:rPr>
              <w:t xml:space="preserve">Assessment of effectiveness of assets management </w:t>
            </w:r>
          </w:p>
        </w:tc>
        <w:tc>
          <w:tcPr>
            <w:tcW w:w="1701" w:type="dxa"/>
          </w:tcPr>
          <w:p w:rsidR="009A297E" w:rsidRPr="00391F86" w:rsidRDefault="009A297E" w:rsidP="00391F86">
            <w:pPr>
              <w:pStyle w:val="TableText"/>
              <w:rPr>
                <w:lang w:val="en-GB"/>
              </w:rPr>
            </w:pPr>
            <w:r w:rsidRPr="00391F86">
              <w:rPr>
                <w:lang w:val="en-GB"/>
              </w:rPr>
              <w:t>If applicable, mandatory</w:t>
            </w:r>
          </w:p>
        </w:tc>
        <w:tc>
          <w:tcPr>
            <w:tcW w:w="1134" w:type="dxa"/>
          </w:tcPr>
          <w:p w:rsidR="009A297E" w:rsidRPr="004C348D" w:rsidRDefault="009A297E" w:rsidP="0032530E">
            <w:pPr>
              <w:pStyle w:val="TableText"/>
              <w:jc w:val="center"/>
              <w:rPr>
                <w:lang w:val="en-GB"/>
              </w:rPr>
            </w:pPr>
            <w:r w:rsidRPr="004C348D">
              <w:rPr>
                <w:lang w:val="en-GB"/>
              </w:rPr>
              <w:t>71–111</w:t>
            </w:r>
          </w:p>
        </w:tc>
      </w:tr>
      <w:tr w:rsidR="009A297E" w:rsidRPr="00391F86" w:rsidTr="002A30F0">
        <w:trPr>
          <w:trHeight w:val="340"/>
        </w:trPr>
        <w:tc>
          <w:tcPr>
            <w:tcW w:w="1985" w:type="dxa"/>
            <w:shd w:val="clear" w:color="auto" w:fill="E6E7E9"/>
          </w:tcPr>
          <w:p w:rsidR="009A297E" w:rsidRPr="00391F86" w:rsidRDefault="009A297E" w:rsidP="00391F86">
            <w:pPr>
              <w:pStyle w:val="TableText"/>
              <w:rPr>
                <w:lang w:val="en-GB"/>
              </w:rPr>
            </w:pPr>
            <w:r w:rsidRPr="00391F86">
              <w:rPr>
                <w:lang w:val="en-GB"/>
              </w:rPr>
              <w:t>Purchasing</w:t>
            </w:r>
          </w:p>
        </w:tc>
        <w:tc>
          <w:tcPr>
            <w:tcW w:w="4394" w:type="dxa"/>
            <w:shd w:val="clear" w:color="auto" w:fill="E6E7E9"/>
          </w:tcPr>
          <w:p w:rsidR="009A297E" w:rsidRPr="00391F86" w:rsidRDefault="009A297E" w:rsidP="00391F86">
            <w:pPr>
              <w:pStyle w:val="TableText"/>
              <w:rPr>
                <w:lang w:val="en-GB"/>
              </w:rPr>
            </w:pPr>
            <w:r w:rsidRPr="00391F86">
              <w:rPr>
                <w:lang w:val="en-GB"/>
              </w:rPr>
              <w:t>Assessment of purchasing against core policies and principles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54-56</w:t>
            </w:r>
          </w:p>
        </w:tc>
      </w:tr>
      <w:tr w:rsidR="009A297E" w:rsidRPr="00391F86" w:rsidTr="002A30F0">
        <w:trPr>
          <w:trHeight w:val="340"/>
        </w:trPr>
        <w:tc>
          <w:tcPr>
            <w:tcW w:w="1985" w:type="dxa"/>
          </w:tcPr>
          <w:p w:rsidR="009A297E" w:rsidRPr="00391F86" w:rsidRDefault="009A297E" w:rsidP="00391F86">
            <w:pPr>
              <w:pStyle w:val="TableText"/>
              <w:rPr>
                <w:lang w:val="en-GB"/>
              </w:rPr>
            </w:pPr>
            <w:r w:rsidRPr="00391F86">
              <w:rPr>
                <w:lang w:val="en-GB"/>
              </w:rPr>
              <w:t xml:space="preserve">Consultants </w:t>
            </w:r>
          </w:p>
        </w:tc>
        <w:tc>
          <w:tcPr>
            <w:tcW w:w="4394" w:type="dxa"/>
          </w:tcPr>
          <w:p w:rsidR="009A297E" w:rsidRPr="00391F86" w:rsidRDefault="009A297E" w:rsidP="00391F86">
            <w:pPr>
              <w:pStyle w:val="TableText"/>
              <w:rPr>
                <w:lang w:val="en-GB"/>
              </w:rPr>
            </w:pPr>
            <w:r w:rsidRPr="00391F86">
              <w:rPr>
                <w:lang w:val="en-GB"/>
              </w:rPr>
              <w:t>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AusTender website</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56</w:t>
            </w:r>
          </w:p>
        </w:tc>
      </w:tr>
      <w:tr w:rsidR="009A297E" w:rsidRPr="00391F86" w:rsidTr="002A30F0">
        <w:trPr>
          <w:trHeight w:val="340"/>
        </w:trPr>
        <w:tc>
          <w:tcPr>
            <w:tcW w:w="1985" w:type="dxa"/>
            <w:shd w:val="clear" w:color="auto" w:fill="E6E7E9"/>
          </w:tcPr>
          <w:p w:rsidR="009A297E" w:rsidRPr="00391F86" w:rsidRDefault="009A297E" w:rsidP="00391F86">
            <w:pPr>
              <w:pStyle w:val="TableText"/>
              <w:rPr>
                <w:lang w:val="en-GB"/>
              </w:rPr>
            </w:pPr>
            <w:r w:rsidRPr="00391F86">
              <w:rPr>
                <w:lang w:val="en-GB"/>
              </w:rPr>
              <w:t>Australian National Audit Office Access Clauses</w:t>
            </w:r>
          </w:p>
        </w:tc>
        <w:tc>
          <w:tcPr>
            <w:tcW w:w="4394" w:type="dxa"/>
            <w:shd w:val="clear" w:color="auto" w:fill="E6E7E9"/>
          </w:tcPr>
          <w:p w:rsidR="009A297E" w:rsidRPr="00391F86" w:rsidRDefault="009A297E" w:rsidP="00391F86">
            <w:pPr>
              <w:pStyle w:val="TableText"/>
              <w:rPr>
                <w:lang w:val="en-GB"/>
              </w:rPr>
            </w:pPr>
            <w:r w:rsidRPr="00391F86">
              <w:rPr>
                <w:lang w:val="en-GB"/>
              </w:rPr>
              <w:t>Absence of provisions in contracts allowing access by the Auditor-General</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54-56</w:t>
            </w:r>
          </w:p>
        </w:tc>
      </w:tr>
      <w:tr w:rsidR="009A297E" w:rsidRPr="00391F86" w:rsidTr="002A30F0">
        <w:trPr>
          <w:trHeight w:val="340"/>
        </w:trPr>
        <w:tc>
          <w:tcPr>
            <w:tcW w:w="1985" w:type="dxa"/>
          </w:tcPr>
          <w:p w:rsidR="009A297E" w:rsidRPr="00391F86" w:rsidRDefault="009A297E" w:rsidP="00391F86">
            <w:pPr>
              <w:pStyle w:val="TableText"/>
              <w:rPr>
                <w:lang w:val="en-GB"/>
              </w:rPr>
            </w:pPr>
            <w:r w:rsidRPr="00391F86">
              <w:rPr>
                <w:lang w:val="en-GB"/>
              </w:rPr>
              <w:t>Exempt contracts</w:t>
            </w:r>
          </w:p>
        </w:tc>
        <w:tc>
          <w:tcPr>
            <w:tcW w:w="4394" w:type="dxa"/>
          </w:tcPr>
          <w:p w:rsidR="009A297E" w:rsidRPr="00391F86" w:rsidRDefault="009A297E" w:rsidP="00391F86">
            <w:pPr>
              <w:pStyle w:val="TableText"/>
              <w:rPr>
                <w:lang w:val="en-GB"/>
              </w:rPr>
            </w:pPr>
            <w:r w:rsidRPr="00391F86">
              <w:rPr>
                <w:lang w:val="en-GB"/>
              </w:rPr>
              <w:t>Contracts exempted from publication in AusTender</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54-56</w:t>
            </w:r>
          </w:p>
        </w:tc>
      </w:tr>
      <w:tr w:rsidR="009A297E" w:rsidRPr="00391F86" w:rsidTr="002A30F0">
        <w:trPr>
          <w:trHeight w:val="340"/>
        </w:trPr>
        <w:tc>
          <w:tcPr>
            <w:tcW w:w="1985" w:type="dxa"/>
            <w:shd w:val="clear" w:color="auto" w:fill="E6E7E9"/>
          </w:tcPr>
          <w:p w:rsidR="009A297E" w:rsidRPr="00391F86" w:rsidRDefault="009A297E" w:rsidP="00391F86">
            <w:pPr>
              <w:pStyle w:val="TableText"/>
              <w:rPr>
                <w:lang w:val="en-GB"/>
              </w:rPr>
            </w:pPr>
            <w:r w:rsidRPr="00391F86">
              <w:rPr>
                <w:lang w:val="en-GB"/>
              </w:rPr>
              <w:t>Financial Statements</w:t>
            </w:r>
          </w:p>
        </w:tc>
        <w:tc>
          <w:tcPr>
            <w:tcW w:w="4394" w:type="dxa"/>
            <w:shd w:val="clear" w:color="auto" w:fill="E6E7E9"/>
          </w:tcPr>
          <w:p w:rsidR="009A297E" w:rsidRPr="00391F86" w:rsidRDefault="009A297E" w:rsidP="00391F86">
            <w:pPr>
              <w:pStyle w:val="TableText"/>
              <w:rPr>
                <w:lang w:val="en-GB"/>
              </w:rPr>
            </w:pPr>
            <w:r w:rsidRPr="00391F86">
              <w:rPr>
                <w:lang w:val="en-GB"/>
              </w:rPr>
              <w:t>Financial Statements</w:t>
            </w:r>
          </w:p>
        </w:tc>
        <w:tc>
          <w:tcPr>
            <w:tcW w:w="1701" w:type="dxa"/>
            <w:shd w:val="clear" w:color="auto" w:fill="E6E7E9"/>
          </w:tcPr>
          <w:p w:rsidR="009A297E" w:rsidRPr="00391F86" w:rsidRDefault="009A297E" w:rsidP="00391F86">
            <w:pPr>
              <w:pStyle w:val="TableText"/>
              <w:rPr>
                <w:lang w:val="en-GB"/>
              </w:rPr>
            </w:pPr>
            <w:r w:rsidRPr="00391F86">
              <w:rPr>
                <w:lang w:val="en-GB"/>
              </w:rPr>
              <w:t>Mandatory</w:t>
            </w:r>
          </w:p>
        </w:tc>
        <w:tc>
          <w:tcPr>
            <w:tcW w:w="1134" w:type="dxa"/>
            <w:shd w:val="clear" w:color="auto" w:fill="E6E7E9"/>
          </w:tcPr>
          <w:p w:rsidR="009A297E" w:rsidRPr="004C348D" w:rsidRDefault="009A297E" w:rsidP="0032530E">
            <w:pPr>
              <w:pStyle w:val="TableText"/>
              <w:jc w:val="center"/>
              <w:rPr>
                <w:lang w:val="en-GB"/>
              </w:rPr>
            </w:pPr>
            <w:r w:rsidRPr="004C348D">
              <w:rPr>
                <w:lang w:val="en-GB"/>
              </w:rPr>
              <w:t>65-103</w:t>
            </w:r>
          </w:p>
        </w:tc>
      </w:tr>
      <w:tr w:rsidR="009A297E" w:rsidRPr="00391F86" w:rsidTr="002A30F0">
        <w:trPr>
          <w:trHeight w:val="340"/>
        </w:trPr>
        <w:tc>
          <w:tcPr>
            <w:tcW w:w="1985" w:type="dxa"/>
            <w:vMerge w:val="restart"/>
          </w:tcPr>
          <w:p w:rsidR="009A297E" w:rsidRPr="00391F86" w:rsidRDefault="009A297E" w:rsidP="00391F86">
            <w:pPr>
              <w:pStyle w:val="TableText"/>
              <w:rPr>
                <w:lang w:val="en-GB"/>
              </w:rPr>
            </w:pPr>
            <w:r w:rsidRPr="00391F86">
              <w:rPr>
                <w:lang w:val="en-GB"/>
              </w:rPr>
              <w:t>Other Mandatory Information</w:t>
            </w:r>
          </w:p>
        </w:tc>
        <w:tc>
          <w:tcPr>
            <w:tcW w:w="4394" w:type="dxa"/>
          </w:tcPr>
          <w:p w:rsidR="009A297E" w:rsidRPr="00391F86" w:rsidRDefault="009A297E" w:rsidP="00391F86">
            <w:pPr>
              <w:pStyle w:val="TableText"/>
              <w:rPr>
                <w:lang w:val="en-GB"/>
              </w:rPr>
            </w:pPr>
            <w:r w:rsidRPr="00391F86">
              <w:rPr>
                <w:lang w:val="en-GB"/>
              </w:rPr>
              <w:t xml:space="preserve">Work health and safety (Schedule 2, Part 4 of the </w:t>
            </w:r>
            <w:r w:rsidRPr="00391F86">
              <w:rPr>
                <w:i/>
                <w:iCs/>
                <w:lang w:val="en-GB"/>
              </w:rPr>
              <w:t>Work Health and Safety Act 2011</w:t>
            </w:r>
            <w:r w:rsidRPr="00391F86">
              <w:rPr>
                <w:lang w:val="en-GB"/>
              </w:rPr>
              <w:t>)</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51</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 xml:space="preserve">Advertising and Market Research (Section 311A of the </w:t>
            </w:r>
            <w:r w:rsidRPr="00391F86">
              <w:rPr>
                <w:i/>
                <w:iCs/>
                <w:lang w:val="en-GB"/>
              </w:rPr>
              <w:t>Commonwealth Electoral Act 1918</w:t>
            </w:r>
            <w:r w:rsidRPr="00391F86">
              <w:rPr>
                <w:lang w:val="en-GB"/>
              </w:rPr>
              <w:t>) and statement on advertising campaigns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107</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 xml:space="preserve">Ecologically sustainable development and environmental performance (Section 516A of the </w:t>
            </w:r>
            <w:r w:rsidRPr="00391F86">
              <w:rPr>
                <w:i/>
                <w:iCs/>
                <w:lang w:val="en-GB"/>
              </w:rPr>
              <w:t>Environment Protection and Biodiversity Conservation Act 1999</w:t>
            </w:r>
            <w:r w:rsidRPr="00391F86">
              <w:rPr>
                <w:lang w:val="en-GB"/>
              </w:rPr>
              <w:t>)</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106</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 xml:space="preserve">Compliance with the agency’s obligations under the </w:t>
            </w:r>
            <w:r w:rsidRPr="00391F86">
              <w:rPr>
                <w:i/>
                <w:iCs/>
                <w:lang w:val="en-GB"/>
              </w:rPr>
              <w:t>Carer Recognition Act 2010</w:t>
            </w:r>
          </w:p>
        </w:tc>
        <w:tc>
          <w:tcPr>
            <w:tcW w:w="1701" w:type="dxa"/>
          </w:tcPr>
          <w:p w:rsidR="009A297E" w:rsidRPr="00391F86" w:rsidRDefault="009A297E" w:rsidP="00391F86">
            <w:pPr>
              <w:pStyle w:val="TableText"/>
              <w:rPr>
                <w:lang w:val="en-GB"/>
              </w:rPr>
            </w:pPr>
            <w:r w:rsidRPr="00391F86">
              <w:rPr>
                <w:lang w:val="en-GB"/>
              </w:rPr>
              <w:t>If applicable, mandatory</w:t>
            </w:r>
          </w:p>
        </w:tc>
        <w:tc>
          <w:tcPr>
            <w:tcW w:w="1134" w:type="dxa"/>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Grant programs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107</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Disability reporting—explicit and transparent reference to agency-level information available through other reporting mechanisms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61</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Information Publication Scheme statement</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105</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Correction of material errors in previous annual report</w:t>
            </w:r>
          </w:p>
        </w:tc>
        <w:tc>
          <w:tcPr>
            <w:tcW w:w="1701" w:type="dxa"/>
          </w:tcPr>
          <w:p w:rsidR="009A297E" w:rsidRPr="00391F86" w:rsidRDefault="009A297E" w:rsidP="00391F86">
            <w:pPr>
              <w:pStyle w:val="TableText"/>
              <w:rPr>
                <w:lang w:val="en-GB"/>
              </w:rPr>
            </w:pPr>
            <w:r w:rsidRPr="00391F86">
              <w:rPr>
                <w:lang w:val="en-GB"/>
              </w:rPr>
              <w:t>If applicable, mandatory</w:t>
            </w:r>
          </w:p>
        </w:tc>
        <w:tc>
          <w:tcPr>
            <w:tcW w:w="1134" w:type="dxa"/>
          </w:tcPr>
          <w:p w:rsidR="009A297E" w:rsidRPr="004C348D" w:rsidRDefault="009A297E" w:rsidP="0032530E">
            <w:pPr>
              <w:pStyle w:val="TableText"/>
              <w:jc w:val="center"/>
              <w:rPr>
                <w:lang w:val="en-GB"/>
              </w:rPr>
            </w:pPr>
            <w:r w:rsidRPr="004C348D">
              <w:rPr>
                <w:lang w:val="en-GB"/>
              </w:rPr>
              <w:t>N/A</w:t>
            </w:r>
          </w:p>
        </w:tc>
      </w:tr>
      <w:tr w:rsidR="009A297E" w:rsidRPr="00391F86" w:rsidTr="002A30F0">
        <w:trPr>
          <w:trHeight w:val="340"/>
        </w:trPr>
        <w:tc>
          <w:tcPr>
            <w:tcW w:w="1985" w:type="dxa"/>
            <w:vMerge/>
          </w:tcPr>
          <w:p w:rsidR="009A297E" w:rsidRPr="00391F86" w:rsidRDefault="009A297E" w:rsidP="00391F86">
            <w:pPr>
              <w:pStyle w:val="TableText"/>
            </w:pPr>
          </w:p>
        </w:tc>
        <w:tc>
          <w:tcPr>
            <w:tcW w:w="4394" w:type="dxa"/>
          </w:tcPr>
          <w:p w:rsidR="009A297E" w:rsidRPr="00391F86" w:rsidRDefault="009A297E" w:rsidP="00391F86">
            <w:pPr>
              <w:pStyle w:val="TableText"/>
              <w:rPr>
                <w:lang w:val="en-GB"/>
              </w:rPr>
            </w:pPr>
            <w:r w:rsidRPr="00391F86">
              <w:rPr>
                <w:lang w:val="en-GB"/>
              </w:rPr>
              <w:t>List of Requirements</w:t>
            </w:r>
          </w:p>
        </w:tc>
        <w:tc>
          <w:tcPr>
            <w:tcW w:w="1701" w:type="dxa"/>
          </w:tcPr>
          <w:p w:rsidR="009A297E" w:rsidRPr="00391F86" w:rsidRDefault="009A297E" w:rsidP="00391F86">
            <w:pPr>
              <w:pStyle w:val="TableText"/>
              <w:rPr>
                <w:lang w:val="en-GB"/>
              </w:rPr>
            </w:pPr>
            <w:r w:rsidRPr="00391F86">
              <w:rPr>
                <w:lang w:val="en-GB"/>
              </w:rPr>
              <w:t>Mandatory</w:t>
            </w:r>
          </w:p>
        </w:tc>
        <w:tc>
          <w:tcPr>
            <w:tcW w:w="1134" w:type="dxa"/>
          </w:tcPr>
          <w:p w:rsidR="009A297E" w:rsidRPr="004C348D" w:rsidRDefault="009A297E" w:rsidP="0032530E">
            <w:pPr>
              <w:pStyle w:val="TableText"/>
              <w:jc w:val="center"/>
              <w:rPr>
                <w:lang w:val="en-GB"/>
              </w:rPr>
            </w:pPr>
            <w:r w:rsidRPr="004C348D">
              <w:rPr>
                <w:lang w:val="en-GB"/>
              </w:rPr>
              <w:t>119</w:t>
            </w:r>
          </w:p>
        </w:tc>
      </w:tr>
    </w:tbl>
    <w:p w:rsidR="001B60D4" w:rsidRDefault="00391F86" w:rsidP="001B60D4">
      <w:r w:rsidRPr="00391F86">
        <w:t xml:space="preserve"> </w:t>
      </w:r>
      <w:r w:rsidR="001B60D4">
        <w:br w:type="page"/>
      </w:r>
    </w:p>
    <w:p w:rsidR="001B60D4" w:rsidRDefault="001B60D4" w:rsidP="001B60D4">
      <w:pPr>
        <w:pStyle w:val="Heading1"/>
      </w:pPr>
      <w:bookmarkStart w:id="51" w:name="_Toc432437405"/>
      <w:r w:rsidRPr="00D56AD8">
        <w:rPr>
          <w:noProof/>
          <w:color w:val="FFFFFF" w:themeColor="background1"/>
          <w:sz w:val="32"/>
          <w:szCs w:val="32"/>
        </w:rPr>
        <w:drawing>
          <wp:anchor distT="0" distB="0" distL="114300" distR="114300" simplePos="0" relativeHeight="251665408" behindDoc="1" locked="0" layoutInCell="0" allowOverlap="1" wp14:anchorId="614EFE99" wp14:editId="2E8A167D">
            <wp:simplePos x="0" y="0"/>
            <wp:positionH relativeFrom="page">
              <wp:align>left</wp:align>
            </wp:positionH>
            <wp:positionV relativeFrom="page">
              <wp:align>top</wp:align>
            </wp:positionV>
            <wp:extent cx="7560000" cy="1069200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Pr="00D56AD8">
        <w:rPr>
          <w:caps w:val="0"/>
          <w:color w:val="FFFFFF" w:themeColor="background1"/>
          <w:sz w:val="32"/>
          <w:szCs w:val="32"/>
        </w:rPr>
        <w:t>Appendix F</w:t>
      </w:r>
      <w:r w:rsidRPr="001B60D4">
        <w:rPr>
          <w:color w:val="FFFFFF" w:themeColor="background1"/>
        </w:rPr>
        <w:br/>
        <w:t>Index</w:t>
      </w:r>
      <w:bookmarkEnd w:id="51"/>
      <w:r>
        <w:br w:type="page"/>
      </w:r>
    </w:p>
    <w:p w:rsidR="00282671" w:rsidRPr="009A297E" w:rsidRDefault="00282671" w:rsidP="00282671">
      <w:pPr>
        <w:spacing w:before="40" w:after="40"/>
        <w:rPr>
          <w:b/>
          <w:bCs/>
          <w:color w:val="008A00" w:themeColor="accent2"/>
          <w:lang w:val="en-GB"/>
        </w:rPr>
      </w:pPr>
      <w:r w:rsidRPr="009A297E">
        <w:rPr>
          <w:b/>
          <w:bCs/>
          <w:color w:val="008A00" w:themeColor="accent2"/>
          <w:lang w:val="en-GB"/>
        </w:rPr>
        <w:t>A</w:t>
      </w:r>
    </w:p>
    <w:p w:rsidR="00282671" w:rsidRPr="008B2C63" w:rsidRDefault="00282671" w:rsidP="00282671">
      <w:pPr>
        <w:spacing w:before="40" w:after="40"/>
        <w:rPr>
          <w:i/>
          <w:iCs/>
          <w:lang w:val="en-GB"/>
        </w:rPr>
      </w:pPr>
      <w:r w:rsidRPr="008B2C63">
        <w:rPr>
          <w:lang w:val="en-GB"/>
        </w:rPr>
        <w:t xml:space="preserve">Activity Based Funding, </w:t>
      </w:r>
      <w:r w:rsidR="0032530E" w:rsidRPr="008B2C63">
        <w:rPr>
          <w:i/>
          <w:iCs/>
          <w:lang w:val="en-GB"/>
        </w:rPr>
        <w:t xml:space="preserve">5–6, 8, 12, 13, </w:t>
      </w:r>
      <w:r w:rsidR="00C40ED2" w:rsidRPr="008B2C63">
        <w:rPr>
          <w:i/>
          <w:iCs/>
          <w:lang w:val="en-GB"/>
        </w:rPr>
        <w:t>15, 16, 18, 27, 31, 37, 38, 39, 42, 44, 46, 65, 75, 102, 111</w:t>
      </w:r>
    </w:p>
    <w:p w:rsidR="00282671" w:rsidRPr="008B2C63" w:rsidRDefault="00282671" w:rsidP="00282671">
      <w:pPr>
        <w:spacing w:before="40" w:after="40"/>
        <w:rPr>
          <w:i/>
          <w:iCs/>
          <w:lang w:val="en-GB"/>
        </w:rPr>
      </w:pPr>
      <w:r w:rsidRPr="008B2C63">
        <w:rPr>
          <w:lang w:val="en-GB"/>
        </w:rPr>
        <w:t xml:space="preserve">Activity Based Funding Conference, </w:t>
      </w:r>
      <w:r w:rsidRPr="008B2C63">
        <w:rPr>
          <w:i/>
          <w:iCs/>
          <w:lang w:val="en-GB"/>
        </w:rPr>
        <w:t>12, 14, 15, 46, 65, 102</w:t>
      </w:r>
    </w:p>
    <w:p w:rsidR="00282671" w:rsidRPr="008B2C63" w:rsidRDefault="00282671" w:rsidP="00282671">
      <w:pPr>
        <w:spacing w:before="40" w:after="40"/>
        <w:rPr>
          <w:lang w:val="en-GB"/>
        </w:rPr>
      </w:pPr>
      <w:r w:rsidRPr="008B2C63">
        <w:rPr>
          <w:lang w:val="en-GB"/>
        </w:rPr>
        <w:t xml:space="preserve">Admitted acute, </w:t>
      </w:r>
      <w:r w:rsidR="00C40ED2" w:rsidRPr="008B2C63">
        <w:rPr>
          <w:i/>
          <w:iCs/>
          <w:lang w:val="en-GB"/>
        </w:rPr>
        <w:t>14, 46, 65</w:t>
      </w:r>
    </w:p>
    <w:p w:rsidR="00282671" w:rsidRPr="008B2C63" w:rsidRDefault="00282671" w:rsidP="00282671">
      <w:pPr>
        <w:spacing w:before="40" w:after="40"/>
        <w:rPr>
          <w:lang w:val="en-GB"/>
        </w:rPr>
      </w:pPr>
      <w:r w:rsidRPr="008B2C63">
        <w:rPr>
          <w:lang w:val="en-GB"/>
        </w:rPr>
        <w:t xml:space="preserve">Appleyard, Glenn, </w:t>
      </w:r>
      <w:r w:rsidRPr="008B2C63">
        <w:rPr>
          <w:i/>
          <w:iCs/>
          <w:lang w:val="en-GB"/>
        </w:rPr>
        <w:t>20, 21, 22</w:t>
      </w:r>
    </w:p>
    <w:p w:rsidR="00282671" w:rsidRPr="008B2C63" w:rsidRDefault="00282671" w:rsidP="00282671">
      <w:pPr>
        <w:spacing w:before="40" w:after="40"/>
        <w:rPr>
          <w:lang w:val="en-GB"/>
        </w:rPr>
      </w:pPr>
      <w:r w:rsidRPr="008B2C63">
        <w:rPr>
          <w:lang w:val="en-GB"/>
        </w:rPr>
        <w:t xml:space="preserve">APS statistical bulletin, </w:t>
      </w:r>
      <w:r w:rsidRPr="008B2C63">
        <w:rPr>
          <w:i/>
          <w:iCs/>
          <w:lang w:val="en-GB"/>
        </w:rPr>
        <w:t>61</w:t>
      </w:r>
    </w:p>
    <w:p w:rsidR="00282671" w:rsidRPr="008B2C63" w:rsidRDefault="00282671" w:rsidP="00282671">
      <w:pPr>
        <w:spacing w:before="40" w:after="40"/>
        <w:rPr>
          <w:i/>
          <w:iCs/>
          <w:lang w:val="en-GB"/>
        </w:rPr>
      </w:pPr>
      <w:r w:rsidRPr="008B2C63">
        <w:rPr>
          <w:lang w:val="en-GB"/>
        </w:rPr>
        <w:t xml:space="preserve">Asset management, </w:t>
      </w:r>
      <w:r w:rsidRPr="008B2C63">
        <w:rPr>
          <w:i/>
          <w:iCs/>
          <w:lang w:val="en-GB"/>
        </w:rPr>
        <w:t>76-82</w:t>
      </w:r>
    </w:p>
    <w:p w:rsidR="00282671" w:rsidRPr="008B2C63" w:rsidRDefault="00282671" w:rsidP="00282671">
      <w:pPr>
        <w:spacing w:before="40" w:after="40"/>
        <w:rPr>
          <w:i/>
          <w:iCs/>
          <w:lang w:val="en-GB"/>
        </w:rPr>
      </w:pPr>
      <w:r w:rsidRPr="008B2C63">
        <w:rPr>
          <w:lang w:val="en-GB"/>
        </w:rPr>
        <w:t xml:space="preserve">Audit, </w:t>
      </w:r>
      <w:r w:rsidR="00C40ED2" w:rsidRPr="008B2C63">
        <w:rPr>
          <w:i/>
          <w:iCs/>
          <w:lang w:val="en-GB"/>
        </w:rPr>
        <w:t>50, 51, 52, 53, 54</w:t>
      </w:r>
    </w:p>
    <w:p w:rsidR="00282671" w:rsidRPr="008B2C63" w:rsidRDefault="00282671" w:rsidP="00282671">
      <w:pPr>
        <w:spacing w:before="40" w:after="40"/>
        <w:rPr>
          <w:i/>
          <w:iCs/>
          <w:lang w:val="en-GB"/>
        </w:rPr>
      </w:pPr>
      <w:r w:rsidRPr="008B2C63">
        <w:rPr>
          <w:lang w:val="en-GB"/>
        </w:rPr>
        <w:t xml:space="preserve">Audit, Risk and Compliance (ARC) Committee, </w:t>
      </w:r>
      <w:r w:rsidR="00C40ED2" w:rsidRPr="008B2C63">
        <w:rPr>
          <w:i/>
          <w:lang w:val="en-GB"/>
        </w:rPr>
        <w:t>49,</w:t>
      </w:r>
      <w:r w:rsidR="00C40ED2" w:rsidRPr="008B2C63">
        <w:rPr>
          <w:lang w:val="en-GB"/>
        </w:rPr>
        <w:t xml:space="preserve"> </w:t>
      </w:r>
      <w:r w:rsidR="00C40ED2" w:rsidRPr="008B2C63">
        <w:rPr>
          <w:i/>
          <w:iCs/>
          <w:lang w:val="en-GB"/>
        </w:rPr>
        <w:t>52, 53</w:t>
      </w:r>
    </w:p>
    <w:p w:rsidR="00282671" w:rsidRPr="008B2C63" w:rsidRDefault="00282671" w:rsidP="00282671">
      <w:pPr>
        <w:spacing w:before="40" w:after="40"/>
        <w:rPr>
          <w:lang w:val="en-GB"/>
        </w:rPr>
      </w:pPr>
      <w:r w:rsidRPr="008B2C63">
        <w:rPr>
          <w:lang w:val="en-GB"/>
        </w:rPr>
        <w:t xml:space="preserve">AusTender, </w:t>
      </w:r>
      <w:r w:rsidR="00C40ED2" w:rsidRPr="008B2C63">
        <w:rPr>
          <w:i/>
          <w:iCs/>
          <w:lang w:val="en-GB"/>
        </w:rPr>
        <w:t>54, 55</w:t>
      </w:r>
    </w:p>
    <w:p w:rsidR="00282671" w:rsidRPr="008B2C63" w:rsidRDefault="00282671" w:rsidP="00282671">
      <w:pPr>
        <w:spacing w:before="40" w:after="40"/>
        <w:rPr>
          <w:i/>
          <w:iCs/>
          <w:lang w:val="en-GB"/>
        </w:rPr>
      </w:pPr>
      <w:r w:rsidRPr="008B2C63">
        <w:rPr>
          <w:lang w:val="en-GB"/>
        </w:rPr>
        <w:t>Australian Accounting Standards, 22</w:t>
      </w:r>
      <w:r w:rsidR="00C40ED2" w:rsidRPr="008B2C63">
        <w:rPr>
          <w:i/>
          <w:iCs/>
          <w:lang w:val="en-GB"/>
        </w:rPr>
        <w:t>, 75, 76, 98</w:t>
      </w:r>
    </w:p>
    <w:p w:rsidR="00282671" w:rsidRPr="008B2C63" w:rsidRDefault="00282671" w:rsidP="00282671">
      <w:pPr>
        <w:spacing w:before="40" w:after="40"/>
        <w:rPr>
          <w:lang w:val="en-GB"/>
        </w:rPr>
      </w:pPr>
      <w:r w:rsidRPr="008B2C63">
        <w:rPr>
          <w:lang w:val="en-GB"/>
        </w:rPr>
        <w:t xml:space="preserve">Australian Commission on Safety and Quality in Health Care, </w:t>
      </w:r>
      <w:r w:rsidRPr="008B2C63">
        <w:rPr>
          <w:i/>
          <w:iCs/>
          <w:lang w:val="en-GB"/>
        </w:rPr>
        <w:t xml:space="preserve">6, 34, </w:t>
      </w:r>
      <w:r w:rsidR="00C40ED2" w:rsidRPr="008B2C63">
        <w:rPr>
          <w:i/>
          <w:iCs/>
          <w:lang w:val="en-GB"/>
        </w:rPr>
        <w:t>37, 111</w:t>
      </w:r>
    </w:p>
    <w:p w:rsidR="00282671" w:rsidRPr="008B2C63" w:rsidRDefault="00282671" w:rsidP="00282671">
      <w:pPr>
        <w:spacing w:before="40" w:after="40"/>
        <w:rPr>
          <w:lang w:val="en-GB"/>
        </w:rPr>
      </w:pPr>
      <w:r w:rsidRPr="008B2C63">
        <w:rPr>
          <w:lang w:val="en-GB"/>
        </w:rPr>
        <w:t xml:space="preserve">Australian Government Procurement Rules, </w:t>
      </w:r>
      <w:r w:rsidRPr="008B2C63">
        <w:rPr>
          <w:i/>
          <w:iCs/>
          <w:lang w:val="en-GB"/>
        </w:rPr>
        <w:t>54</w:t>
      </w:r>
    </w:p>
    <w:p w:rsidR="00282671" w:rsidRPr="008B2C63" w:rsidRDefault="00282671" w:rsidP="00282671">
      <w:pPr>
        <w:spacing w:before="40" w:after="40"/>
        <w:rPr>
          <w:lang w:val="en-GB"/>
        </w:rPr>
      </w:pPr>
      <w:r w:rsidRPr="008B2C63">
        <w:rPr>
          <w:lang w:val="en-GB"/>
        </w:rPr>
        <w:t xml:space="preserve">Australian Hospital Patient Costing Standards, </w:t>
      </w:r>
      <w:r w:rsidRPr="008B2C63">
        <w:rPr>
          <w:i/>
          <w:iCs/>
          <w:lang w:val="en-GB"/>
        </w:rPr>
        <w:t>15</w:t>
      </w:r>
    </w:p>
    <w:p w:rsidR="00282671" w:rsidRPr="008B2C63" w:rsidRDefault="00282671" w:rsidP="00282671">
      <w:pPr>
        <w:spacing w:before="40" w:after="40"/>
        <w:rPr>
          <w:lang w:val="en-GB"/>
        </w:rPr>
      </w:pPr>
      <w:r w:rsidRPr="008B2C63">
        <w:rPr>
          <w:lang w:val="en-GB"/>
        </w:rPr>
        <w:t xml:space="preserve">Australian Institute for Health and Welfare (AIHW), </w:t>
      </w:r>
      <w:r w:rsidR="00C40ED2" w:rsidRPr="008B2C63">
        <w:rPr>
          <w:i/>
          <w:lang w:val="en-GB"/>
        </w:rPr>
        <w:t>23,</w:t>
      </w:r>
      <w:r w:rsidR="00C40ED2" w:rsidRPr="008B2C63">
        <w:rPr>
          <w:lang w:val="en-GB"/>
        </w:rPr>
        <w:t xml:space="preserve"> </w:t>
      </w:r>
      <w:r w:rsidRPr="008B2C63">
        <w:rPr>
          <w:i/>
          <w:iCs/>
          <w:lang w:val="en-GB"/>
        </w:rPr>
        <w:t>111</w:t>
      </w:r>
    </w:p>
    <w:p w:rsidR="00282671" w:rsidRPr="008B2C63" w:rsidRDefault="00282671" w:rsidP="00282671">
      <w:pPr>
        <w:spacing w:before="40" w:after="40"/>
        <w:rPr>
          <w:lang w:val="en-GB"/>
        </w:rPr>
      </w:pPr>
      <w:r w:rsidRPr="008B2C63">
        <w:rPr>
          <w:lang w:val="en-GB"/>
        </w:rPr>
        <w:t xml:space="preserve">Australian Mental Health Care Classification, </w:t>
      </w:r>
      <w:r w:rsidR="00C40ED2" w:rsidRPr="008B2C63">
        <w:rPr>
          <w:i/>
          <w:iCs/>
          <w:lang w:val="en-GB"/>
        </w:rPr>
        <w:t>13, 14, 15, 34, 39, 48, 65</w:t>
      </w:r>
    </w:p>
    <w:p w:rsidR="00282671" w:rsidRPr="008B2C63" w:rsidRDefault="00282671" w:rsidP="00282671">
      <w:pPr>
        <w:spacing w:before="40" w:after="40"/>
        <w:rPr>
          <w:i/>
          <w:iCs/>
          <w:lang w:val="en-GB"/>
        </w:rPr>
      </w:pPr>
      <w:r w:rsidRPr="008B2C63">
        <w:rPr>
          <w:lang w:val="en-GB"/>
        </w:rPr>
        <w:t xml:space="preserve">Australian National Audit Office (ANAO), </w:t>
      </w:r>
      <w:r w:rsidRPr="008B2C63">
        <w:rPr>
          <w:i/>
          <w:iCs/>
          <w:lang w:val="en-GB"/>
        </w:rPr>
        <w:t>65, 111, 120</w:t>
      </w:r>
    </w:p>
    <w:p w:rsidR="00282671" w:rsidRPr="008B2C63" w:rsidRDefault="00282671" w:rsidP="00282671">
      <w:pPr>
        <w:spacing w:before="40" w:after="40"/>
        <w:rPr>
          <w:i/>
          <w:iCs/>
          <w:lang w:val="en-GB"/>
        </w:rPr>
      </w:pPr>
      <w:r w:rsidRPr="008B2C63">
        <w:rPr>
          <w:lang w:val="en-GB"/>
        </w:rPr>
        <w:t xml:space="preserve">Australian Refined Diagnostic Related Groups (ARDRG), </w:t>
      </w:r>
      <w:r w:rsidRPr="008B2C63">
        <w:rPr>
          <w:i/>
          <w:iCs/>
          <w:lang w:val="en-GB"/>
        </w:rPr>
        <w:t>1</w:t>
      </w:r>
      <w:r w:rsidR="00C40ED2" w:rsidRPr="008B2C63">
        <w:rPr>
          <w:i/>
          <w:iCs/>
          <w:lang w:val="en-GB"/>
        </w:rPr>
        <w:t>6</w:t>
      </w:r>
      <w:r w:rsidRPr="008B2C63">
        <w:rPr>
          <w:i/>
          <w:iCs/>
          <w:lang w:val="en-GB"/>
        </w:rPr>
        <w:t>, 114</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B</w:t>
      </w:r>
    </w:p>
    <w:p w:rsidR="00282671" w:rsidRPr="008B2C63" w:rsidRDefault="00282671" w:rsidP="00282671">
      <w:pPr>
        <w:spacing w:before="40" w:after="40"/>
        <w:rPr>
          <w:lang w:val="en-GB"/>
        </w:rPr>
      </w:pPr>
      <w:r w:rsidRPr="008B2C63">
        <w:rPr>
          <w:lang w:val="en-GB"/>
        </w:rPr>
        <w:t xml:space="preserve">Back-cast, </w:t>
      </w:r>
      <w:r w:rsidR="00C40ED2" w:rsidRPr="008B2C63">
        <w:rPr>
          <w:i/>
          <w:iCs/>
          <w:lang w:val="en-GB"/>
        </w:rPr>
        <w:t>12</w:t>
      </w:r>
    </w:p>
    <w:p w:rsidR="00282671" w:rsidRPr="008B2C63" w:rsidRDefault="00282671" w:rsidP="00282671">
      <w:pPr>
        <w:spacing w:before="40" w:after="40"/>
        <w:rPr>
          <w:lang w:val="en-GB"/>
        </w:rPr>
      </w:pPr>
      <w:r w:rsidRPr="008B2C63">
        <w:rPr>
          <w:lang w:val="en-GB"/>
        </w:rPr>
        <w:t xml:space="preserve">Balance sheet, </w:t>
      </w:r>
      <w:r w:rsidRPr="008B2C63">
        <w:rPr>
          <w:i/>
          <w:iCs/>
          <w:lang w:val="en-GB"/>
        </w:rPr>
        <w:t>102</w:t>
      </w:r>
    </w:p>
    <w:p w:rsidR="00282671" w:rsidRPr="008B2C63" w:rsidRDefault="00282671" w:rsidP="00282671">
      <w:pPr>
        <w:spacing w:before="40" w:after="40"/>
        <w:rPr>
          <w:lang w:val="en-GB"/>
        </w:rPr>
      </w:pPr>
      <w:r w:rsidRPr="008B2C63">
        <w:rPr>
          <w:lang w:val="en-GB"/>
        </w:rPr>
        <w:t xml:space="preserve">Bansemer, Alan, </w:t>
      </w:r>
      <w:r w:rsidRPr="008B2C63">
        <w:rPr>
          <w:i/>
          <w:iCs/>
          <w:lang w:val="en-GB"/>
        </w:rPr>
        <w:t>20–</w:t>
      </w:r>
      <w:r w:rsidR="00C40ED2" w:rsidRPr="008B2C63">
        <w:rPr>
          <w:i/>
          <w:iCs/>
          <w:lang w:val="en-GB"/>
        </w:rPr>
        <w:t>23, 52</w:t>
      </w:r>
    </w:p>
    <w:p w:rsidR="00282671" w:rsidRPr="008B2C63" w:rsidRDefault="00282671" w:rsidP="00282671">
      <w:pPr>
        <w:spacing w:before="40" w:after="40"/>
        <w:rPr>
          <w:lang w:val="en-GB"/>
        </w:rPr>
      </w:pPr>
      <w:r w:rsidRPr="008B2C63">
        <w:rPr>
          <w:lang w:val="en-GB"/>
        </w:rPr>
        <w:t xml:space="preserve">Birch, Jim, </w:t>
      </w:r>
      <w:r w:rsidRPr="008B2C63">
        <w:rPr>
          <w:i/>
          <w:iCs/>
          <w:lang w:val="en-GB"/>
        </w:rPr>
        <w:t>20, 21, 22</w:t>
      </w:r>
    </w:p>
    <w:p w:rsidR="00282671" w:rsidRPr="008B2C63" w:rsidRDefault="00282671" w:rsidP="00282671">
      <w:pPr>
        <w:spacing w:before="40" w:after="40"/>
        <w:rPr>
          <w:i/>
          <w:iCs/>
          <w:lang w:val="en-GB"/>
        </w:rPr>
      </w:pPr>
      <w:r w:rsidRPr="008B2C63">
        <w:rPr>
          <w:lang w:val="en-GB"/>
        </w:rPr>
        <w:t xml:space="preserve">Block funding, </w:t>
      </w:r>
      <w:r w:rsidR="00C40ED2" w:rsidRPr="008B2C63">
        <w:rPr>
          <w:i/>
          <w:iCs/>
          <w:lang w:val="en-GB"/>
        </w:rPr>
        <w:t xml:space="preserve">37, 75, 98, </w:t>
      </w:r>
      <w:r w:rsidRPr="008B2C63">
        <w:rPr>
          <w:i/>
          <w:iCs/>
          <w:lang w:val="en-GB"/>
        </w:rPr>
        <w:t>114</w:t>
      </w:r>
    </w:p>
    <w:p w:rsidR="00282671" w:rsidRPr="008B2C63" w:rsidRDefault="00282671" w:rsidP="00282671">
      <w:pPr>
        <w:spacing w:before="40" w:after="40"/>
        <w:rPr>
          <w:lang w:val="en-GB"/>
        </w:rPr>
      </w:pPr>
      <w:r w:rsidRPr="008B2C63">
        <w:rPr>
          <w:lang w:val="en-GB"/>
        </w:rPr>
        <w:t xml:space="preserve">Business planning, </w:t>
      </w:r>
      <w:r w:rsidRPr="008B2C63">
        <w:rPr>
          <w:i/>
          <w:iCs/>
          <w:lang w:val="en-GB"/>
        </w:rPr>
        <w:t>50</w:t>
      </w:r>
      <w:r w:rsidR="00C40ED2" w:rsidRPr="008B2C63">
        <w:rPr>
          <w:i/>
          <w:iCs/>
          <w:lang w:val="en-GB"/>
        </w:rPr>
        <w:t xml:space="preserve">, </w:t>
      </w:r>
      <w:r w:rsidR="00952718" w:rsidRPr="008B2C63">
        <w:rPr>
          <w:i/>
          <w:iCs/>
          <w:lang w:val="en-GB"/>
        </w:rPr>
        <w:t>48</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C</w:t>
      </w:r>
    </w:p>
    <w:p w:rsidR="00282671" w:rsidRPr="008B2C63" w:rsidRDefault="00282671" w:rsidP="00282671">
      <w:pPr>
        <w:spacing w:before="40" w:after="40"/>
        <w:rPr>
          <w:i/>
          <w:iCs/>
          <w:lang w:val="en-GB"/>
        </w:rPr>
      </w:pPr>
      <w:r w:rsidRPr="008B2C63">
        <w:rPr>
          <w:i/>
          <w:iCs/>
          <w:lang w:val="en-GB"/>
        </w:rPr>
        <w:t>Carer Recognition Act 2010, 6</w:t>
      </w:r>
      <w:r w:rsidR="002615D3" w:rsidRPr="008B2C63">
        <w:rPr>
          <w:i/>
          <w:iCs/>
          <w:lang w:val="en-GB"/>
        </w:rPr>
        <w:t>1</w:t>
      </w:r>
      <w:r w:rsidRPr="008B2C63">
        <w:rPr>
          <w:i/>
          <w:iCs/>
          <w:lang w:val="en-GB"/>
        </w:rPr>
        <w:t>, 114, 123</w:t>
      </w:r>
    </w:p>
    <w:p w:rsidR="00282671" w:rsidRPr="008B2C63" w:rsidRDefault="00282671" w:rsidP="00282671">
      <w:pPr>
        <w:spacing w:before="40" w:after="40"/>
        <w:rPr>
          <w:lang w:val="en-GB"/>
        </w:rPr>
      </w:pPr>
      <w:r w:rsidRPr="008B2C63">
        <w:rPr>
          <w:lang w:val="en-GB"/>
        </w:rPr>
        <w:t xml:space="preserve">Cash flow statement, </w:t>
      </w:r>
      <w:r w:rsidRPr="008B2C63">
        <w:rPr>
          <w:i/>
          <w:lang w:val="en-GB"/>
        </w:rPr>
        <w:t>64, 72, 73, 101</w:t>
      </w:r>
    </w:p>
    <w:p w:rsidR="00282671" w:rsidRPr="008B2C63" w:rsidRDefault="00282671" w:rsidP="00282671">
      <w:pPr>
        <w:spacing w:before="40" w:after="40"/>
        <w:rPr>
          <w:lang w:val="en-GB"/>
        </w:rPr>
      </w:pPr>
      <w:r w:rsidRPr="008B2C63">
        <w:rPr>
          <w:lang w:val="en-GB"/>
        </w:rPr>
        <w:t xml:space="preserve">Chater, Bruce, </w:t>
      </w:r>
      <w:r w:rsidRPr="008B2C63">
        <w:rPr>
          <w:i/>
          <w:iCs/>
          <w:lang w:val="en-GB"/>
        </w:rPr>
        <w:t xml:space="preserve">20, </w:t>
      </w:r>
      <w:r w:rsidR="002615D3" w:rsidRPr="008B2C63">
        <w:rPr>
          <w:i/>
          <w:iCs/>
          <w:lang w:val="en-GB"/>
        </w:rPr>
        <w:t>21, 23</w:t>
      </w:r>
    </w:p>
    <w:p w:rsidR="00282671" w:rsidRPr="008B2C63" w:rsidRDefault="00282671" w:rsidP="00282671">
      <w:pPr>
        <w:spacing w:before="40" w:after="40"/>
        <w:rPr>
          <w:i/>
          <w:iCs/>
          <w:lang w:val="en-GB"/>
        </w:rPr>
      </w:pPr>
      <w:r w:rsidRPr="008B2C63">
        <w:rPr>
          <w:lang w:val="en-GB"/>
        </w:rPr>
        <w:t>Chief Executive Officer (CEO),</w:t>
      </w:r>
      <w:r w:rsidR="00F9323F" w:rsidRPr="008B2C63">
        <w:rPr>
          <w:lang w:val="en-GB"/>
        </w:rPr>
        <w:t xml:space="preserve"> </w:t>
      </w:r>
      <w:r w:rsidR="002615D3" w:rsidRPr="008B2C63">
        <w:rPr>
          <w:i/>
          <w:iCs/>
          <w:lang w:val="en-GB"/>
        </w:rPr>
        <w:t>1, 12</w:t>
      </w:r>
      <w:r w:rsidRPr="008B2C63">
        <w:rPr>
          <w:i/>
          <w:iCs/>
          <w:lang w:val="en-GB"/>
        </w:rPr>
        <w:t xml:space="preserve">, </w:t>
      </w:r>
      <w:r w:rsidR="002615D3" w:rsidRPr="008B2C63">
        <w:rPr>
          <w:i/>
          <w:iCs/>
          <w:lang w:val="en-GB"/>
        </w:rPr>
        <w:t>13,</w:t>
      </w:r>
      <w:r w:rsidR="0032530E" w:rsidRPr="008B2C63">
        <w:rPr>
          <w:i/>
          <w:iCs/>
          <w:lang w:val="en-GB"/>
        </w:rPr>
        <w:t xml:space="preserve"> </w:t>
      </w:r>
      <w:r w:rsidR="002615D3" w:rsidRPr="008B2C63">
        <w:rPr>
          <w:i/>
          <w:iCs/>
          <w:lang w:val="en-GB"/>
        </w:rPr>
        <w:t xml:space="preserve">17, </w:t>
      </w:r>
      <w:r w:rsidRPr="008B2C63">
        <w:rPr>
          <w:i/>
          <w:iCs/>
          <w:lang w:val="en-GB"/>
        </w:rPr>
        <w:t>20, 2</w:t>
      </w:r>
      <w:r w:rsidR="002615D3" w:rsidRPr="008B2C63">
        <w:rPr>
          <w:i/>
          <w:iCs/>
          <w:lang w:val="en-GB"/>
        </w:rPr>
        <w:t>2</w:t>
      </w:r>
      <w:r w:rsidRPr="008B2C63">
        <w:rPr>
          <w:i/>
          <w:iCs/>
          <w:lang w:val="en-GB"/>
        </w:rPr>
        <w:t>, 2</w:t>
      </w:r>
      <w:r w:rsidR="002615D3" w:rsidRPr="008B2C63">
        <w:rPr>
          <w:i/>
          <w:iCs/>
          <w:lang w:val="en-GB"/>
        </w:rPr>
        <w:t>3</w:t>
      </w:r>
      <w:r w:rsidRPr="008B2C63">
        <w:rPr>
          <w:i/>
          <w:iCs/>
          <w:lang w:val="en-GB"/>
        </w:rPr>
        <w:t xml:space="preserve">, </w:t>
      </w:r>
      <w:r w:rsidR="002615D3" w:rsidRPr="008B2C63">
        <w:rPr>
          <w:i/>
          <w:iCs/>
          <w:lang w:val="en-GB"/>
        </w:rPr>
        <w:t>52</w:t>
      </w:r>
    </w:p>
    <w:p w:rsidR="00282671" w:rsidRPr="008B2C63" w:rsidRDefault="00282671" w:rsidP="00282671">
      <w:pPr>
        <w:spacing w:before="40" w:after="40"/>
        <w:rPr>
          <w:lang w:val="en-GB"/>
        </w:rPr>
      </w:pPr>
      <w:r w:rsidRPr="008B2C63">
        <w:rPr>
          <w:lang w:val="en-GB"/>
        </w:rPr>
        <w:t xml:space="preserve">Children, </w:t>
      </w:r>
      <w:r w:rsidRPr="008B2C63">
        <w:rPr>
          <w:i/>
          <w:iCs/>
          <w:lang w:val="en-GB"/>
        </w:rPr>
        <w:t>16</w:t>
      </w:r>
    </w:p>
    <w:p w:rsidR="00282671" w:rsidRPr="008B2C63" w:rsidRDefault="00282671" w:rsidP="00282671">
      <w:pPr>
        <w:spacing w:before="40" w:after="40"/>
        <w:rPr>
          <w:i/>
          <w:iCs/>
          <w:lang w:val="en-GB"/>
        </w:rPr>
      </w:pPr>
      <w:r w:rsidRPr="008B2C63">
        <w:rPr>
          <w:lang w:val="en-GB"/>
        </w:rPr>
        <w:t xml:space="preserve">Classification, </w:t>
      </w:r>
      <w:r w:rsidR="00871354" w:rsidRPr="008B2C63">
        <w:rPr>
          <w:i/>
          <w:iCs/>
          <w:lang w:val="en-GB"/>
        </w:rPr>
        <w:t>12, 13, 14, 15, 16, 17, 18, 19, 30, 31, 34, 37, 38, 39, 40, 42, 112, 116</w:t>
      </w:r>
    </w:p>
    <w:p w:rsidR="00282671" w:rsidRPr="008B2C63" w:rsidRDefault="00282671" w:rsidP="00282671">
      <w:pPr>
        <w:spacing w:before="40" w:after="40"/>
        <w:rPr>
          <w:lang w:val="en-GB"/>
        </w:rPr>
      </w:pPr>
      <w:r w:rsidRPr="008B2C63">
        <w:rPr>
          <w:lang w:val="en-GB"/>
        </w:rPr>
        <w:t xml:space="preserve">Classification and coding, </w:t>
      </w:r>
      <w:r w:rsidR="00871354" w:rsidRPr="008B2C63">
        <w:rPr>
          <w:i/>
          <w:iCs/>
          <w:lang w:val="en-GB"/>
        </w:rPr>
        <w:t>18</w:t>
      </w:r>
    </w:p>
    <w:p w:rsidR="00282671" w:rsidRPr="008B2C63" w:rsidRDefault="00282671" w:rsidP="00282671">
      <w:pPr>
        <w:spacing w:before="40" w:after="40"/>
        <w:rPr>
          <w:i/>
          <w:iCs/>
          <w:lang w:val="en-GB"/>
        </w:rPr>
      </w:pPr>
      <w:r w:rsidRPr="008B2C63">
        <w:rPr>
          <w:lang w:val="en-GB"/>
        </w:rPr>
        <w:t xml:space="preserve">Classification systems, </w:t>
      </w:r>
      <w:r w:rsidRPr="008B2C63">
        <w:rPr>
          <w:i/>
          <w:lang w:val="en-GB"/>
        </w:rPr>
        <w:t>3</w:t>
      </w:r>
      <w:r w:rsidR="00871354" w:rsidRPr="008B2C63">
        <w:rPr>
          <w:i/>
          <w:lang w:val="en-GB"/>
        </w:rPr>
        <w:t>0</w:t>
      </w:r>
      <w:r w:rsidRPr="008B2C63">
        <w:rPr>
          <w:i/>
          <w:lang w:val="en-GB"/>
        </w:rPr>
        <w:t xml:space="preserve">, </w:t>
      </w:r>
      <w:r w:rsidR="00871354" w:rsidRPr="008B2C63">
        <w:rPr>
          <w:i/>
          <w:lang w:val="en-GB"/>
        </w:rPr>
        <w:t xml:space="preserve">31, </w:t>
      </w:r>
      <w:r w:rsidRPr="008B2C63">
        <w:rPr>
          <w:i/>
          <w:iCs/>
          <w:lang w:val="en-GB"/>
        </w:rPr>
        <w:t xml:space="preserve">37, </w:t>
      </w:r>
      <w:r w:rsidR="00871354" w:rsidRPr="008B2C63">
        <w:rPr>
          <w:i/>
          <w:iCs/>
          <w:lang w:val="en-GB"/>
        </w:rPr>
        <w:t>39</w:t>
      </w:r>
      <w:r w:rsidRPr="008B2C63">
        <w:rPr>
          <w:i/>
          <w:iCs/>
          <w:lang w:val="en-GB"/>
        </w:rPr>
        <w:t>, 6</w:t>
      </w:r>
      <w:r w:rsidR="00871354" w:rsidRPr="008B2C63">
        <w:rPr>
          <w:i/>
          <w:iCs/>
          <w:lang w:val="en-GB"/>
        </w:rPr>
        <w:t>5</w:t>
      </w:r>
      <w:r w:rsidRPr="008B2C63">
        <w:rPr>
          <w:i/>
          <w:iCs/>
          <w:lang w:val="en-GB"/>
        </w:rPr>
        <w:t>, 8</w:t>
      </w:r>
      <w:r w:rsidR="00871354" w:rsidRPr="008B2C63">
        <w:rPr>
          <w:i/>
          <w:iCs/>
          <w:lang w:val="en-GB"/>
        </w:rPr>
        <w:t>1</w:t>
      </w:r>
      <w:r w:rsidRPr="008B2C63">
        <w:rPr>
          <w:i/>
          <w:iCs/>
          <w:lang w:val="en-GB"/>
        </w:rPr>
        <w:t>, 10</w:t>
      </w:r>
      <w:r w:rsidR="00871354" w:rsidRPr="008B2C63">
        <w:rPr>
          <w:i/>
          <w:iCs/>
          <w:lang w:val="en-GB"/>
        </w:rPr>
        <w:t>2</w:t>
      </w:r>
    </w:p>
    <w:p w:rsidR="00282671" w:rsidRPr="008B2C63" w:rsidRDefault="00282671" w:rsidP="00282671">
      <w:pPr>
        <w:spacing w:before="40" w:after="40"/>
        <w:rPr>
          <w:i/>
          <w:iCs/>
          <w:lang w:val="en-GB"/>
        </w:rPr>
      </w:pPr>
      <w:r w:rsidRPr="008B2C63">
        <w:rPr>
          <w:lang w:val="en-GB"/>
        </w:rPr>
        <w:t xml:space="preserve">Clinical Advisory Committee (CAC), </w:t>
      </w:r>
      <w:r w:rsidR="00871354" w:rsidRPr="008B2C63">
        <w:rPr>
          <w:i/>
          <w:lang w:val="en-GB"/>
        </w:rPr>
        <w:t>1,</w:t>
      </w:r>
      <w:r w:rsidR="00871354" w:rsidRPr="008B2C63">
        <w:rPr>
          <w:lang w:val="en-GB"/>
        </w:rPr>
        <w:t xml:space="preserve"> </w:t>
      </w:r>
      <w:r w:rsidR="00871354" w:rsidRPr="008B2C63">
        <w:rPr>
          <w:i/>
          <w:lang w:val="en-GB"/>
        </w:rPr>
        <w:t xml:space="preserve">5, </w:t>
      </w:r>
      <w:r w:rsidRPr="008B2C63">
        <w:rPr>
          <w:i/>
          <w:lang w:val="en-GB"/>
        </w:rPr>
        <w:t>1</w:t>
      </w:r>
      <w:r w:rsidR="00871354" w:rsidRPr="008B2C63">
        <w:rPr>
          <w:i/>
          <w:lang w:val="en-GB"/>
        </w:rPr>
        <w:t>3</w:t>
      </w:r>
      <w:r w:rsidRPr="008B2C63">
        <w:rPr>
          <w:i/>
          <w:lang w:val="en-GB"/>
        </w:rPr>
        <w:t>, 2</w:t>
      </w:r>
      <w:r w:rsidR="00871354" w:rsidRPr="008B2C63">
        <w:rPr>
          <w:i/>
          <w:lang w:val="en-GB"/>
        </w:rPr>
        <w:t>4</w:t>
      </w:r>
      <w:r w:rsidRPr="008B2C63">
        <w:rPr>
          <w:i/>
          <w:lang w:val="en-GB"/>
        </w:rPr>
        <w:t>, 2</w:t>
      </w:r>
      <w:r w:rsidR="00871354" w:rsidRPr="008B2C63">
        <w:rPr>
          <w:i/>
          <w:lang w:val="en-GB"/>
        </w:rPr>
        <w:t>6</w:t>
      </w:r>
      <w:r w:rsidRPr="008B2C63">
        <w:rPr>
          <w:i/>
          <w:lang w:val="en-GB"/>
        </w:rPr>
        <w:t>, 3</w:t>
      </w:r>
      <w:r w:rsidR="00871354" w:rsidRPr="008B2C63">
        <w:rPr>
          <w:i/>
          <w:lang w:val="en-GB"/>
        </w:rPr>
        <w:t>0</w:t>
      </w:r>
      <w:r w:rsidRPr="008B2C63">
        <w:rPr>
          <w:i/>
          <w:iCs/>
          <w:lang w:val="en-GB"/>
        </w:rPr>
        <w:t>–3</w:t>
      </w:r>
      <w:r w:rsidR="00871354" w:rsidRPr="008B2C63">
        <w:rPr>
          <w:i/>
          <w:iCs/>
          <w:lang w:val="en-GB"/>
        </w:rPr>
        <w:t xml:space="preserve">7, </w:t>
      </w:r>
      <w:r w:rsidRPr="008B2C63">
        <w:rPr>
          <w:i/>
          <w:iCs/>
          <w:lang w:val="en-GB"/>
        </w:rPr>
        <w:t>11</w:t>
      </w:r>
      <w:r w:rsidR="00871354" w:rsidRPr="008B2C63">
        <w:rPr>
          <w:i/>
          <w:iCs/>
          <w:lang w:val="en-GB"/>
        </w:rPr>
        <w:t>4</w:t>
      </w:r>
    </w:p>
    <w:p w:rsidR="00282671" w:rsidRPr="008B2C63" w:rsidRDefault="00282671" w:rsidP="00282671">
      <w:pPr>
        <w:spacing w:before="40" w:after="40"/>
        <w:rPr>
          <w:lang w:val="en-GB"/>
        </w:rPr>
      </w:pPr>
      <w:r w:rsidRPr="008B2C63">
        <w:rPr>
          <w:lang w:val="en-GB"/>
        </w:rPr>
        <w:t xml:space="preserve">Clinical classifications, </w:t>
      </w:r>
      <w:r w:rsidR="004874E5" w:rsidRPr="008B2C63">
        <w:rPr>
          <w:i/>
          <w:lang w:val="en-GB"/>
        </w:rPr>
        <w:t>18</w:t>
      </w:r>
    </w:p>
    <w:p w:rsidR="00282671" w:rsidRPr="008B2C63" w:rsidRDefault="00282671" w:rsidP="00282671">
      <w:pPr>
        <w:spacing w:before="40" w:after="40"/>
        <w:rPr>
          <w:i/>
          <w:iCs/>
          <w:lang w:val="en-GB"/>
        </w:rPr>
      </w:pPr>
      <w:r w:rsidRPr="008B2C63">
        <w:rPr>
          <w:lang w:val="en-GB"/>
        </w:rPr>
        <w:t xml:space="preserve">Clinical safety and quality, </w:t>
      </w:r>
      <w:r w:rsidRPr="008B2C63">
        <w:rPr>
          <w:i/>
          <w:lang w:val="en-GB"/>
        </w:rPr>
        <w:t xml:space="preserve">6, </w:t>
      </w:r>
      <w:r w:rsidR="004874E5" w:rsidRPr="008B2C63">
        <w:rPr>
          <w:i/>
          <w:iCs/>
          <w:lang w:val="en-GB"/>
        </w:rPr>
        <w:t>38</w:t>
      </w:r>
    </w:p>
    <w:p w:rsidR="00282671" w:rsidRPr="008B2C63" w:rsidRDefault="00282671" w:rsidP="00282671">
      <w:pPr>
        <w:spacing w:before="40" w:after="40"/>
        <w:rPr>
          <w:lang w:val="en-GB"/>
        </w:rPr>
      </w:pPr>
      <w:r w:rsidRPr="008B2C63">
        <w:rPr>
          <w:lang w:val="en-GB"/>
        </w:rPr>
        <w:t xml:space="preserve">Coding standards, </w:t>
      </w:r>
      <w:r w:rsidR="004874E5" w:rsidRPr="008B2C63">
        <w:rPr>
          <w:i/>
          <w:iCs/>
          <w:lang w:val="en-GB"/>
        </w:rPr>
        <w:t>18</w:t>
      </w:r>
    </w:p>
    <w:p w:rsidR="00282671" w:rsidRPr="008B2C63" w:rsidRDefault="00282671" w:rsidP="00282671">
      <w:pPr>
        <w:spacing w:before="40" w:after="40"/>
        <w:rPr>
          <w:lang w:val="en-GB"/>
        </w:rPr>
      </w:pPr>
      <w:r w:rsidRPr="008B2C63">
        <w:rPr>
          <w:lang w:val="en-GB"/>
        </w:rPr>
        <w:t xml:space="preserve">Consultants, </w:t>
      </w:r>
      <w:r w:rsidR="0032530E" w:rsidRPr="008B2C63">
        <w:rPr>
          <w:i/>
          <w:iCs/>
          <w:lang w:val="en-GB"/>
        </w:rPr>
        <w:t>54–</w:t>
      </w:r>
      <w:r w:rsidR="00952718" w:rsidRPr="008B2C63">
        <w:rPr>
          <w:i/>
          <w:iCs/>
          <w:lang w:val="en-GB"/>
        </w:rPr>
        <w:t>55</w:t>
      </w:r>
      <w:r w:rsidR="004874E5" w:rsidRPr="008B2C63">
        <w:rPr>
          <w:i/>
          <w:iCs/>
          <w:lang w:val="en-GB"/>
        </w:rPr>
        <w:t>, 82, 120</w:t>
      </w:r>
    </w:p>
    <w:p w:rsidR="00282671" w:rsidRPr="008B2C63" w:rsidRDefault="00282671" w:rsidP="00282671">
      <w:pPr>
        <w:spacing w:before="40" w:after="40"/>
        <w:rPr>
          <w:lang w:val="en-GB"/>
        </w:rPr>
      </w:pPr>
      <w:r w:rsidRPr="008B2C63">
        <w:rPr>
          <w:lang w:val="en-GB"/>
        </w:rPr>
        <w:t>Corporate governance,</w:t>
      </w:r>
      <w:r w:rsidR="004874E5" w:rsidRPr="008B2C63">
        <w:rPr>
          <w:i/>
          <w:iCs/>
          <w:lang w:val="en-GB"/>
        </w:rPr>
        <w:t>48–</w:t>
      </w:r>
      <w:r w:rsidR="00D8691A" w:rsidRPr="008B2C63">
        <w:rPr>
          <w:i/>
          <w:iCs/>
          <w:lang w:val="en-GB"/>
        </w:rPr>
        <w:t>55</w:t>
      </w:r>
    </w:p>
    <w:p w:rsidR="00282671" w:rsidRPr="008B2C63" w:rsidRDefault="00282671" w:rsidP="00282671">
      <w:pPr>
        <w:spacing w:before="40" w:after="40"/>
        <w:rPr>
          <w:lang w:val="en-GB"/>
        </w:rPr>
      </w:pPr>
      <w:r w:rsidRPr="008B2C63">
        <w:rPr>
          <w:lang w:val="en-GB"/>
        </w:rPr>
        <w:t xml:space="preserve">Corporate Plan, </w:t>
      </w:r>
      <w:r w:rsidR="004874E5" w:rsidRPr="008B2C63">
        <w:rPr>
          <w:i/>
          <w:iCs/>
          <w:lang w:val="en-GB"/>
        </w:rPr>
        <w:t>1, 51</w:t>
      </w:r>
    </w:p>
    <w:p w:rsidR="00282671" w:rsidRPr="008B2C63" w:rsidRDefault="00282671" w:rsidP="00282671">
      <w:pPr>
        <w:spacing w:before="40" w:after="40"/>
        <w:rPr>
          <w:lang w:val="en-GB"/>
        </w:rPr>
      </w:pPr>
      <w:r w:rsidRPr="008B2C63">
        <w:rPr>
          <w:lang w:val="en-GB"/>
        </w:rPr>
        <w:t xml:space="preserve">Corporate Services, </w:t>
      </w:r>
      <w:r w:rsidR="00F9323F" w:rsidRPr="008B2C63">
        <w:rPr>
          <w:i/>
          <w:iCs/>
          <w:lang w:val="en-GB"/>
        </w:rPr>
        <w:t xml:space="preserve">19, </w:t>
      </w:r>
      <w:r w:rsidR="00D8691A" w:rsidRPr="008B2C63">
        <w:rPr>
          <w:i/>
          <w:iCs/>
          <w:lang w:val="en-GB"/>
        </w:rPr>
        <w:t>124</w:t>
      </w:r>
    </w:p>
    <w:p w:rsidR="00282671" w:rsidRPr="008B2C63" w:rsidRDefault="00282671" w:rsidP="00282671">
      <w:pPr>
        <w:spacing w:before="40" w:after="40"/>
        <w:rPr>
          <w:i/>
          <w:iCs/>
          <w:lang w:val="en-GB"/>
        </w:rPr>
      </w:pPr>
      <w:r w:rsidRPr="008B2C63">
        <w:rPr>
          <w:lang w:val="en-GB"/>
        </w:rPr>
        <w:t xml:space="preserve">Cost data, </w:t>
      </w:r>
      <w:r w:rsidR="00F9323F" w:rsidRPr="008B2C63">
        <w:rPr>
          <w:i/>
          <w:iCs/>
          <w:lang w:val="en-GB"/>
        </w:rPr>
        <w:t xml:space="preserve">6, </w:t>
      </w:r>
      <w:r w:rsidRPr="008B2C63">
        <w:rPr>
          <w:i/>
          <w:iCs/>
          <w:lang w:val="en-GB"/>
        </w:rPr>
        <w:t>12, 1</w:t>
      </w:r>
      <w:r w:rsidR="00F9323F" w:rsidRPr="008B2C63">
        <w:rPr>
          <w:i/>
          <w:iCs/>
          <w:lang w:val="en-GB"/>
        </w:rPr>
        <w:t>4</w:t>
      </w:r>
      <w:r w:rsidRPr="008B2C63">
        <w:rPr>
          <w:i/>
          <w:iCs/>
          <w:lang w:val="en-GB"/>
        </w:rPr>
        <w:t xml:space="preserve">, </w:t>
      </w:r>
      <w:r w:rsidR="00F9323F" w:rsidRPr="008B2C63">
        <w:rPr>
          <w:i/>
          <w:iCs/>
          <w:lang w:val="en-GB"/>
        </w:rPr>
        <w:t xml:space="preserve">15, 18, </w:t>
      </w:r>
      <w:r w:rsidRPr="008B2C63">
        <w:rPr>
          <w:i/>
          <w:iCs/>
          <w:lang w:val="en-GB"/>
        </w:rPr>
        <w:t>2</w:t>
      </w:r>
      <w:r w:rsidR="00F9323F" w:rsidRPr="008B2C63">
        <w:rPr>
          <w:i/>
          <w:iCs/>
          <w:lang w:val="en-GB"/>
        </w:rPr>
        <w:t>4</w:t>
      </w:r>
      <w:r w:rsidRPr="008B2C63">
        <w:rPr>
          <w:i/>
          <w:iCs/>
          <w:lang w:val="en-GB"/>
        </w:rPr>
        <w:t>, 2</w:t>
      </w:r>
      <w:r w:rsidR="00F9323F" w:rsidRPr="008B2C63">
        <w:rPr>
          <w:i/>
          <w:iCs/>
          <w:lang w:val="en-GB"/>
        </w:rPr>
        <w:t>7</w:t>
      </w:r>
      <w:r w:rsidRPr="008B2C63">
        <w:rPr>
          <w:i/>
          <w:iCs/>
          <w:lang w:val="en-GB"/>
        </w:rPr>
        <w:t xml:space="preserve">, </w:t>
      </w:r>
      <w:r w:rsidR="00F9323F" w:rsidRPr="008B2C63">
        <w:rPr>
          <w:i/>
          <w:iCs/>
          <w:lang w:val="en-GB"/>
        </w:rPr>
        <w:t>3</w:t>
      </w:r>
      <w:r w:rsidRPr="008B2C63">
        <w:rPr>
          <w:i/>
          <w:iCs/>
          <w:lang w:val="en-GB"/>
        </w:rPr>
        <w:t xml:space="preserve">9, </w:t>
      </w:r>
      <w:r w:rsidR="00F9323F" w:rsidRPr="008B2C63">
        <w:rPr>
          <w:i/>
          <w:iCs/>
          <w:lang w:val="en-GB"/>
        </w:rPr>
        <w:t xml:space="preserve">40, </w:t>
      </w:r>
      <w:r w:rsidR="00D8691A" w:rsidRPr="008B2C63">
        <w:rPr>
          <w:i/>
          <w:iCs/>
          <w:lang w:val="en-GB"/>
        </w:rPr>
        <w:t>124</w:t>
      </w:r>
    </w:p>
    <w:p w:rsidR="00282671" w:rsidRPr="008B2C63" w:rsidRDefault="00282671" w:rsidP="00282671">
      <w:pPr>
        <w:spacing w:before="40" w:after="40"/>
        <w:rPr>
          <w:lang w:val="en-GB"/>
        </w:rPr>
      </w:pPr>
      <w:r w:rsidRPr="008B2C63">
        <w:rPr>
          <w:lang w:val="en-GB"/>
        </w:rPr>
        <w:t xml:space="preserve">Costing, </w:t>
      </w:r>
      <w:r w:rsidR="0042032D" w:rsidRPr="008B2C63">
        <w:rPr>
          <w:i/>
          <w:iCs/>
          <w:lang w:val="en-GB"/>
        </w:rPr>
        <w:t xml:space="preserve">12, 14, 15, 16, 18, 19, 30, 34, 39, 40, </w:t>
      </w:r>
      <w:r w:rsidR="00D8691A" w:rsidRPr="008B2C63">
        <w:rPr>
          <w:i/>
          <w:iCs/>
          <w:lang w:val="en-GB"/>
        </w:rPr>
        <w:t xml:space="preserve">64, </w:t>
      </w:r>
      <w:r w:rsidR="0042032D" w:rsidRPr="008B2C63">
        <w:rPr>
          <w:i/>
          <w:iCs/>
          <w:lang w:val="en-GB"/>
        </w:rPr>
        <w:t>65, 80, 81</w:t>
      </w:r>
    </w:p>
    <w:p w:rsidR="00282671" w:rsidRPr="008B2C63" w:rsidRDefault="00282671" w:rsidP="00282671">
      <w:pPr>
        <w:spacing w:before="40" w:after="40"/>
        <w:rPr>
          <w:lang w:val="en-GB"/>
        </w:rPr>
      </w:pPr>
      <w:r w:rsidRPr="008B2C63">
        <w:rPr>
          <w:lang w:val="en-GB"/>
        </w:rPr>
        <w:t xml:space="preserve">Cost-shifting disputes, </w:t>
      </w:r>
      <w:r w:rsidRPr="008B2C63">
        <w:rPr>
          <w:i/>
          <w:iCs/>
          <w:lang w:val="en-GB"/>
        </w:rPr>
        <w:t>43</w:t>
      </w:r>
    </w:p>
    <w:p w:rsidR="00282671" w:rsidRPr="008B2C63" w:rsidRDefault="00282671" w:rsidP="00282671">
      <w:pPr>
        <w:spacing w:before="40" w:after="40"/>
        <w:rPr>
          <w:i/>
          <w:iCs/>
          <w:lang w:val="en-GB"/>
        </w:rPr>
      </w:pPr>
      <w:r w:rsidRPr="008B2C63">
        <w:rPr>
          <w:lang w:val="en-GB"/>
        </w:rPr>
        <w:t xml:space="preserve">Council of Australian Governments (COAG), </w:t>
      </w:r>
      <w:r w:rsidR="00D8691A" w:rsidRPr="008B2C63">
        <w:rPr>
          <w:lang w:val="en-GB"/>
        </w:rPr>
        <w:t xml:space="preserve">1, </w:t>
      </w:r>
      <w:r w:rsidR="005B4077" w:rsidRPr="008B2C63">
        <w:rPr>
          <w:i/>
          <w:iCs/>
          <w:lang w:val="en-GB"/>
        </w:rPr>
        <w:t>5, 6, 40, 124</w:t>
      </w:r>
    </w:p>
    <w:p w:rsidR="00282671" w:rsidRPr="008B2C63" w:rsidRDefault="00282671" w:rsidP="00282671">
      <w:pPr>
        <w:spacing w:before="40" w:after="40"/>
        <w:rPr>
          <w:i/>
          <w:iCs/>
          <w:lang w:val="en-GB"/>
        </w:rPr>
      </w:pPr>
      <w:r w:rsidRPr="008B2C63">
        <w:rPr>
          <w:lang w:val="en-GB"/>
        </w:rPr>
        <w:t xml:space="preserve">Counting, </w:t>
      </w:r>
      <w:r w:rsidR="005B4077" w:rsidRPr="008B2C63">
        <w:rPr>
          <w:i/>
          <w:iCs/>
          <w:lang w:val="en-GB"/>
        </w:rPr>
        <w:t>16, 4</w:t>
      </w:r>
      <w:r w:rsidR="009D06AE" w:rsidRPr="008B2C63">
        <w:rPr>
          <w:i/>
          <w:iCs/>
          <w:lang w:val="en-GB"/>
        </w:rPr>
        <w:t>4</w:t>
      </w:r>
    </w:p>
    <w:p w:rsidR="00282671" w:rsidRPr="008B2C63" w:rsidRDefault="00282671" w:rsidP="00282671">
      <w:pPr>
        <w:spacing w:before="40" w:after="40"/>
        <w:rPr>
          <w:lang w:val="en-GB"/>
        </w:rPr>
      </w:pPr>
      <w:r w:rsidRPr="008B2C63">
        <w:rPr>
          <w:lang w:val="en-GB"/>
        </w:rPr>
        <w:t xml:space="preserve">Cross-border disputes, </w:t>
      </w:r>
      <w:r w:rsidRPr="008B2C63">
        <w:rPr>
          <w:i/>
          <w:iCs/>
          <w:lang w:val="en-GB"/>
        </w:rPr>
        <w:t>43</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D</w:t>
      </w:r>
    </w:p>
    <w:p w:rsidR="00282671" w:rsidRPr="008B2C63" w:rsidRDefault="00282671" w:rsidP="00282671">
      <w:pPr>
        <w:spacing w:before="40" w:after="40"/>
        <w:rPr>
          <w:lang w:val="en-GB"/>
        </w:rPr>
      </w:pPr>
      <w:r w:rsidRPr="008B2C63">
        <w:rPr>
          <w:lang w:val="en-GB"/>
        </w:rPr>
        <w:t xml:space="preserve">Data Acquisition, </w:t>
      </w:r>
      <w:r w:rsidR="005B4077" w:rsidRPr="008B2C63">
        <w:rPr>
          <w:i/>
          <w:iCs/>
          <w:lang w:val="en-GB"/>
        </w:rPr>
        <w:t>18</w:t>
      </w:r>
    </w:p>
    <w:p w:rsidR="00282671" w:rsidRPr="008B2C63" w:rsidRDefault="00282671" w:rsidP="00282671">
      <w:pPr>
        <w:spacing w:before="40" w:after="40"/>
        <w:rPr>
          <w:lang w:val="en-GB"/>
        </w:rPr>
      </w:pPr>
      <w:r w:rsidRPr="008B2C63">
        <w:rPr>
          <w:lang w:val="en-GB"/>
        </w:rPr>
        <w:t xml:space="preserve">Data compliance policy, </w:t>
      </w:r>
      <w:r w:rsidRPr="008B2C63">
        <w:rPr>
          <w:i/>
          <w:iCs/>
          <w:lang w:val="en-GB"/>
        </w:rPr>
        <w:t>41</w:t>
      </w:r>
    </w:p>
    <w:p w:rsidR="00282671" w:rsidRPr="008B2C63" w:rsidRDefault="00282671" w:rsidP="00282671">
      <w:pPr>
        <w:spacing w:before="40" w:after="40"/>
        <w:rPr>
          <w:lang w:val="en-GB"/>
        </w:rPr>
      </w:pPr>
      <w:r w:rsidRPr="008B2C63">
        <w:rPr>
          <w:lang w:val="en-GB"/>
        </w:rPr>
        <w:t xml:space="preserve">Data Compliance Reports, </w:t>
      </w:r>
      <w:r w:rsidRPr="008B2C63">
        <w:rPr>
          <w:i/>
          <w:iCs/>
          <w:lang w:val="en-GB"/>
        </w:rPr>
        <w:t>4</w:t>
      </w:r>
      <w:r w:rsidR="005B4077" w:rsidRPr="008B2C63">
        <w:rPr>
          <w:i/>
          <w:iCs/>
          <w:lang w:val="en-GB"/>
        </w:rPr>
        <w:t>0</w:t>
      </w:r>
    </w:p>
    <w:p w:rsidR="00282671" w:rsidRPr="008B2C63" w:rsidRDefault="00282671" w:rsidP="00282671">
      <w:pPr>
        <w:spacing w:before="40" w:after="40"/>
        <w:rPr>
          <w:lang w:val="en-GB"/>
        </w:rPr>
      </w:pPr>
      <w:r w:rsidRPr="008B2C63">
        <w:rPr>
          <w:lang w:val="en-GB"/>
        </w:rPr>
        <w:t xml:space="preserve">Data set specifications, </w:t>
      </w:r>
      <w:r w:rsidRPr="008B2C63">
        <w:rPr>
          <w:i/>
          <w:iCs/>
          <w:lang w:val="en-GB"/>
        </w:rPr>
        <w:t>4</w:t>
      </w:r>
      <w:r w:rsidR="005B4077" w:rsidRPr="008B2C63">
        <w:rPr>
          <w:i/>
          <w:iCs/>
          <w:lang w:val="en-GB"/>
        </w:rPr>
        <w:t>0</w:t>
      </w:r>
    </w:p>
    <w:p w:rsidR="00282671" w:rsidRPr="008B2C63" w:rsidRDefault="00282671" w:rsidP="00282671">
      <w:pPr>
        <w:spacing w:before="40" w:after="40"/>
        <w:rPr>
          <w:lang w:val="en-GB"/>
        </w:rPr>
      </w:pPr>
      <w:r w:rsidRPr="008B2C63">
        <w:rPr>
          <w:lang w:val="en-GB"/>
        </w:rPr>
        <w:t>Data validation tools,</w:t>
      </w:r>
      <w:r w:rsidRPr="008B2C63">
        <w:rPr>
          <w:i/>
          <w:iCs/>
          <w:lang w:val="en-GB"/>
        </w:rPr>
        <w:t xml:space="preserve"> 4</w:t>
      </w:r>
      <w:r w:rsidR="005B4077" w:rsidRPr="008B2C63">
        <w:rPr>
          <w:i/>
          <w:iCs/>
          <w:lang w:val="en-GB"/>
        </w:rPr>
        <w:t>0</w:t>
      </w:r>
    </w:p>
    <w:p w:rsidR="00282671" w:rsidRPr="008B2C63" w:rsidRDefault="00282671" w:rsidP="00282671">
      <w:pPr>
        <w:spacing w:before="40" w:after="40"/>
        <w:rPr>
          <w:lang w:val="en-GB"/>
        </w:rPr>
      </w:pPr>
      <w:r w:rsidRPr="008B2C63">
        <w:rPr>
          <w:lang w:val="en-GB"/>
        </w:rPr>
        <w:t xml:space="preserve">Department of Health, </w:t>
      </w:r>
      <w:r w:rsidRPr="008B2C63">
        <w:rPr>
          <w:i/>
          <w:iCs/>
          <w:lang w:val="en-GB"/>
        </w:rPr>
        <w:t>6</w:t>
      </w:r>
      <w:r w:rsidR="005B4077" w:rsidRPr="008B2C63">
        <w:rPr>
          <w:i/>
          <w:iCs/>
          <w:lang w:val="en-GB"/>
        </w:rPr>
        <w:t>0</w:t>
      </w:r>
      <w:r w:rsidR="008E3EF2" w:rsidRPr="008B2C63">
        <w:rPr>
          <w:i/>
          <w:iCs/>
          <w:lang w:val="en-GB"/>
        </w:rPr>
        <w:t>-</w:t>
      </w:r>
      <w:r w:rsidRPr="008B2C63">
        <w:rPr>
          <w:i/>
          <w:iCs/>
          <w:lang w:val="en-GB"/>
        </w:rPr>
        <w:t>6</w:t>
      </w:r>
      <w:r w:rsidR="005B4077" w:rsidRPr="008B2C63">
        <w:rPr>
          <w:i/>
          <w:iCs/>
          <w:lang w:val="en-GB"/>
        </w:rPr>
        <w:t>2</w:t>
      </w:r>
      <w:r w:rsidRPr="008B2C63">
        <w:rPr>
          <w:i/>
          <w:iCs/>
          <w:lang w:val="en-GB"/>
        </w:rPr>
        <w:t>, 8</w:t>
      </w:r>
      <w:r w:rsidR="005B4077" w:rsidRPr="008B2C63">
        <w:rPr>
          <w:i/>
          <w:iCs/>
          <w:lang w:val="en-GB"/>
        </w:rPr>
        <w:t>1</w:t>
      </w:r>
      <w:r w:rsidRPr="008B2C63">
        <w:rPr>
          <w:i/>
          <w:iCs/>
          <w:lang w:val="en-GB"/>
        </w:rPr>
        <w:t>, 8</w:t>
      </w:r>
      <w:r w:rsidR="005B4077" w:rsidRPr="008B2C63">
        <w:rPr>
          <w:i/>
          <w:iCs/>
          <w:lang w:val="en-GB"/>
        </w:rPr>
        <w:t>5</w:t>
      </w:r>
      <w:r w:rsidRPr="008B2C63">
        <w:rPr>
          <w:i/>
          <w:iCs/>
          <w:lang w:val="en-GB"/>
        </w:rPr>
        <w:t>, 9</w:t>
      </w:r>
      <w:r w:rsidR="005B4077" w:rsidRPr="008B2C63">
        <w:rPr>
          <w:i/>
          <w:iCs/>
          <w:lang w:val="en-GB"/>
        </w:rPr>
        <w:t>0</w:t>
      </w:r>
      <w:r w:rsidRPr="008B2C63">
        <w:rPr>
          <w:i/>
          <w:iCs/>
          <w:lang w:val="en-GB"/>
        </w:rPr>
        <w:t>, 9</w:t>
      </w:r>
      <w:r w:rsidR="005B4077" w:rsidRPr="008B2C63">
        <w:rPr>
          <w:i/>
          <w:iCs/>
          <w:lang w:val="en-GB"/>
        </w:rPr>
        <w:t>2</w:t>
      </w:r>
      <w:r w:rsidRPr="008B2C63">
        <w:rPr>
          <w:i/>
          <w:iCs/>
          <w:lang w:val="en-GB"/>
        </w:rPr>
        <w:t>, 9</w:t>
      </w:r>
      <w:r w:rsidR="005B4077" w:rsidRPr="008B2C63">
        <w:rPr>
          <w:i/>
          <w:iCs/>
          <w:lang w:val="en-GB"/>
        </w:rPr>
        <w:t>3</w:t>
      </w:r>
    </w:p>
    <w:p w:rsidR="00282671" w:rsidRPr="008B2C63" w:rsidRDefault="00282671" w:rsidP="00282671">
      <w:pPr>
        <w:spacing w:before="40" w:after="40"/>
        <w:rPr>
          <w:lang w:val="en-GB"/>
        </w:rPr>
      </w:pPr>
      <w:r w:rsidRPr="008B2C63">
        <w:rPr>
          <w:lang w:val="en-GB"/>
        </w:rPr>
        <w:t xml:space="preserve">Disability reporting, </w:t>
      </w:r>
      <w:r w:rsidRPr="008B2C63">
        <w:rPr>
          <w:i/>
          <w:iCs/>
          <w:lang w:val="en-GB"/>
        </w:rPr>
        <w:t>6</w:t>
      </w:r>
      <w:r w:rsidR="005B4077" w:rsidRPr="008B2C63">
        <w:rPr>
          <w:i/>
          <w:iCs/>
          <w:lang w:val="en-GB"/>
        </w:rPr>
        <w:t>1</w:t>
      </w:r>
      <w:r w:rsidRPr="008B2C63">
        <w:rPr>
          <w:i/>
          <w:iCs/>
          <w:lang w:val="en-GB"/>
        </w:rPr>
        <w:t>, 12</w:t>
      </w:r>
      <w:r w:rsidR="005B4077" w:rsidRPr="008B2C63">
        <w:rPr>
          <w:i/>
          <w:iCs/>
          <w:lang w:val="en-GB"/>
        </w:rPr>
        <w:t>4</w:t>
      </w:r>
    </w:p>
    <w:p w:rsidR="00282671" w:rsidRPr="008B2C63" w:rsidRDefault="00282671" w:rsidP="00282671">
      <w:pPr>
        <w:spacing w:before="40" w:after="40"/>
        <w:rPr>
          <w:lang w:val="en-GB"/>
        </w:rPr>
      </w:pPr>
      <w:r w:rsidRPr="008B2C63">
        <w:rPr>
          <w:lang w:val="en-GB"/>
        </w:rPr>
        <w:t xml:space="preserve">Dispute resolution, </w:t>
      </w:r>
      <w:r w:rsidR="005B4077" w:rsidRPr="008B2C63">
        <w:rPr>
          <w:i/>
          <w:iCs/>
          <w:lang w:val="en-GB"/>
        </w:rPr>
        <w:t>19</w:t>
      </w:r>
      <w:r w:rsidRPr="008B2C63">
        <w:rPr>
          <w:i/>
          <w:iCs/>
          <w:lang w:val="en-GB"/>
        </w:rPr>
        <w:t>, 4</w:t>
      </w:r>
      <w:r w:rsidR="005B4077" w:rsidRPr="008B2C63">
        <w:rPr>
          <w:i/>
          <w:iCs/>
          <w:lang w:val="en-GB"/>
        </w:rPr>
        <w:t>1</w:t>
      </w:r>
    </w:p>
    <w:p w:rsidR="00282671" w:rsidRPr="008B2C63" w:rsidRDefault="00282671" w:rsidP="00282671">
      <w:pPr>
        <w:spacing w:before="40" w:after="40"/>
        <w:rPr>
          <w:i/>
          <w:iCs/>
          <w:lang w:val="en-GB"/>
        </w:rPr>
      </w:pPr>
      <w:r w:rsidRPr="008B2C63">
        <w:rPr>
          <w:lang w:val="en-GB"/>
        </w:rPr>
        <w:t xml:space="preserve">Downie, James, </w:t>
      </w:r>
      <w:r w:rsidR="005B4077" w:rsidRPr="008B2C63">
        <w:rPr>
          <w:i/>
          <w:iCs/>
          <w:lang w:val="en-GB"/>
        </w:rPr>
        <w:t xml:space="preserve">1, 12, </w:t>
      </w:r>
      <w:r w:rsidRPr="008B2C63">
        <w:rPr>
          <w:i/>
          <w:iCs/>
          <w:lang w:val="en-GB"/>
        </w:rPr>
        <w:t>13, 2</w:t>
      </w:r>
      <w:r w:rsidR="005B4077" w:rsidRPr="008B2C63">
        <w:rPr>
          <w:i/>
          <w:iCs/>
          <w:lang w:val="en-GB"/>
        </w:rPr>
        <w:t>6</w:t>
      </w:r>
      <w:r w:rsidRPr="008B2C63">
        <w:rPr>
          <w:i/>
          <w:iCs/>
          <w:lang w:val="en-GB"/>
        </w:rPr>
        <w:t xml:space="preserve"> </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E</w:t>
      </w:r>
    </w:p>
    <w:p w:rsidR="00282671" w:rsidRPr="008B2C63" w:rsidRDefault="00282671" w:rsidP="00282671">
      <w:pPr>
        <w:spacing w:before="40" w:after="40"/>
        <w:rPr>
          <w:lang w:val="en-GB"/>
        </w:rPr>
      </w:pPr>
      <w:r w:rsidRPr="008B2C63">
        <w:rPr>
          <w:lang w:val="en-GB"/>
        </w:rPr>
        <w:t xml:space="preserve">Efficiency, </w:t>
      </w:r>
      <w:r w:rsidR="005B4077" w:rsidRPr="008B2C63">
        <w:rPr>
          <w:i/>
          <w:iCs/>
          <w:lang w:val="en-GB"/>
        </w:rPr>
        <w:t>5, 6, 12, 13, 16, 37, 38, 75, 98, 106, 111</w:t>
      </w:r>
    </w:p>
    <w:p w:rsidR="00282671" w:rsidRPr="008B2C63" w:rsidRDefault="00282671" w:rsidP="00282671">
      <w:pPr>
        <w:spacing w:before="40" w:after="40"/>
        <w:rPr>
          <w:lang w:val="en-GB"/>
        </w:rPr>
      </w:pPr>
      <w:r w:rsidRPr="008B2C63">
        <w:rPr>
          <w:lang w:val="en-GB"/>
        </w:rPr>
        <w:t xml:space="preserve">Efficiency and effectiveness, </w:t>
      </w:r>
      <w:r w:rsidR="005B4077" w:rsidRPr="008B2C63">
        <w:rPr>
          <w:i/>
          <w:iCs/>
          <w:lang w:val="en-GB"/>
        </w:rPr>
        <w:t>6, 38</w:t>
      </w:r>
    </w:p>
    <w:p w:rsidR="00282671" w:rsidRPr="008B2C63" w:rsidRDefault="00282671" w:rsidP="00282671">
      <w:pPr>
        <w:spacing w:before="40" w:after="40"/>
        <w:rPr>
          <w:i/>
          <w:iCs/>
          <w:lang w:val="en-GB"/>
        </w:rPr>
      </w:pPr>
      <w:r w:rsidRPr="008B2C63">
        <w:rPr>
          <w:lang w:val="en-GB"/>
        </w:rPr>
        <w:t xml:space="preserve">Emergency, </w:t>
      </w:r>
      <w:r w:rsidR="005B4077" w:rsidRPr="008B2C63">
        <w:rPr>
          <w:i/>
          <w:iCs/>
          <w:lang w:val="en-GB"/>
        </w:rPr>
        <w:t>13, 16, 24, 27, 32, 33, 39, 65, 111</w:t>
      </w:r>
    </w:p>
    <w:p w:rsidR="00282671" w:rsidRPr="008B2C63" w:rsidRDefault="00282671" w:rsidP="00282671">
      <w:pPr>
        <w:spacing w:before="40" w:after="40"/>
        <w:rPr>
          <w:lang w:val="en-GB"/>
        </w:rPr>
      </w:pPr>
      <w:r w:rsidRPr="008B2C63">
        <w:rPr>
          <w:lang w:val="en-GB"/>
        </w:rPr>
        <w:t xml:space="preserve">Emergency department, </w:t>
      </w:r>
      <w:r w:rsidR="005B4077" w:rsidRPr="008B2C63">
        <w:rPr>
          <w:i/>
          <w:iCs/>
          <w:lang w:val="en-GB"/>
        </w:rPr>
        <w:t>16, 65</w:t>
      </w:r>
    </w:p>
    <w:p w:rsidR="00282671" w:rsidRPr="008B2C63" w:rsidRDefault="00282671" w:rsidP="00282671">
      <w:pPr>
        <w:spacing w:before="40" w:after="40"/>
        <w:rPr>
          <w:lang w:val="en-GB"/>
        </w:rPr>
      </w:pPr>
      <w:r w:rsidRPr="008B2C63">
        <w:rPr>
          <w:lang w:val="en-GB"/>
        </w:rPr>
        <w:t xml:space="preserve">Ethical standards, </w:t>
      </w:r>
      <w:r w:rsidR="005B4077" w:rsidRPr="008B2C63">
        <w:rPr>
          <w:i/>
          <w:iCs/>
          <w:lang w:val="en-GB"/>
        </w:rPr>
        <w:t>61</w:t>
      </w:r>
    </w:p>
    <w:p w:rsidR="00282671" w:rsidRPr="008B2C63" w:rsidRDefault="00282671" w:rsidP="00282671">
      <w:pPr>
        <w:spacing w:before="40" w:after="40"/>
        <w:rPr>
          <w:lang w:val="en-GB"/>
        </w:rPr>
      </w:pPr>
      <w:r w:rsidRPr="008B2C63">
        <w:rPr>
          <w:lang w:val="en-GB"/>
        </w:rPr>
        <w:t xml:space="preserve">External scrutiny, </w:t>
      </w:r>
      <w:r w:rsidR="005B4077" w:rsidRPr="008B2C63">
        <w:rPr>
          <w:i/>
          <w:iCs/>
          <w:lang w:val="en-GB"/>
        </w:rPr>
        <w:t>61</w:t>
      </w:r>
      <w:r w:rsidR="009D06AE" w:rsidRPr="008B2C63">
        <w:rPr>
          <w:i/>
          <w:iCs/>
          <w:lang w:val="en-GB"/>
        </w:rPr>
        <w:t>, 119</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F</w:t>
      </w:r>
    </w:p>
    <w:p w:rsidR="00282671" w:rsidRPr="008B2C63" w:rsidRDefault="00282671" w:rsidP="00282671">
      <w:pPr>
        <w:spacing w:before="40" w:after="40"/>
        <w:rPr>
          <w:lang w:val="en-GB"/>
        </w:rPr>
      </w:pPr>
      <w:r w:rsidRPr="008B2C63">
        <w:rPr>
          <w:lang w:val="en-GB"/>
        </w:rPr>
        <w:t xml:space="preserve">Fairness, </w:t>
      </w:r>
      <w:r w:rsidRPr="008B2C63">
        <w:rPr>
          <w:i/>
          <w:iCs/>
          <w:lang w:val="en-GB"/>
        </w:rPr>
        <w:t>6</w:t>
      </w:r>
      <w:r w:rsidR="005B4077" w:rsidRPr="008B2C63">
        <w:rPr>
          <w:i/>
          <w:iCs/>
          <w:lang w:val="en-GB"/>
        </w:rPr>
        <w:t>2</w:t>
      </w:r>
    </w:p>
    <w:p w:rsidR="00282671" w:rsidRPr="008B2C63" w:rsidRDefault="00282671" w:rsidP="00282671">
      <w:pPr>
        <w:spacing w:before="40" w:after="40"/>
        <w:rPr>
          <w:i/>
          <w:iCs/>
          <w:lang w:val="en-GB"/>
        </w:rPr>
      </w:pPr>
      <w:r w:rsidRPr="008B2C63">
        <w:rPr>
          <w:i/>
          <w:iCs/>
          <w:lang w:val="en-GB"/>
        </w:rPr>
        <w:t xml:space="preserve">Financial Management And Accountability Act 1997, </w:t>
      </w:r>
      <w:r w:rsidR="009D06AE" w:rsidRPr="008B2C63">
        <w:rPr>
          <w:i/>
          <w:iCs/>
          <w:lang w:val="en-GB"/>
        </w:rPr>
        <w:t xml:space="preserve">69, 75, </w:t>
      </w:r>
      <w:r w:rsidR="005B4077" w:rsidRPr="008B2C63">
        <w:rPr>
          <w:i/>
          <w:iCs/>
          <w:lang w:val="en-GB"/>
        </w:rPr>
        <w:t>113</w:t>
      </w:r>
    </w:p>
    <w:p w:rsidR="00282671" w:rsidRPr="008B2C63" w:rsidRDefault="00282671" w:rsidP="00282671">
      <w:pPr>
        <w:spacing w:before="40" w:after="40"/>
        <w:rPr>
          <w:lang w:val="en-GB"/>
        </w:rPr>
      </w:pPr>
      <w:r w:rsidRPr="008B2C63">
        <w:rPr>
          <w:lang w:val="en-GB"/>
        </w:rPr>
        <w:t xml:space="preserve">Financial sustainability of the public hospital system, </w:t>
      </w:r>
      <w:r w:rsidR="005B4077" w:rsidRPr="008B2C63">
        <w:rPr>
          <w:i/>
          <w:iCs/>
          <w:lang w:val="en-GB"/>
        </w:rPr>
        <w:t>6, 37</w:t>
      </w:r>
    </w:p>
    <w:p w:rsidR="00282671" w:rsidRPr="008B2C63" w:rsidRDefault="00282671" w:rsidP="00282671">
      <w:pPr>
        <w:spacing w:before="40" w:after="40"/>
        <w:rPr>
          <w:lang w:val="en-GB"/>
        </w:rPr>
      </w:pPr>
      <w:r w:rsidRPr="008B2C63">
        <w:rPr>
          <w:lang w:val="en-GB"/>
        </w:rPr>
        <w:t xml:space="preserve">Fraud control, </w:t>
      </w:r>
      <w:r w:rsidR="005B4077" w:rsidRPr="008B2C63">
        <w:rPr>
          <w:i/>
          <w:iCs/>
          <w:lang w:val="en-GB"/>
        </w:rPr>
        <w:t>48, 53, 56</w:t>
      </w:r>
    </w:p>
    <w:p w:rsidR="00282671" w:rsidRPr="008B2C63" w:rsidRDefault="00282671" w:rsidP="00282671">
      <w:pPr>
        <w:spacing w:before="40" w:after="40"/>
        <w:rPr>
          <w:i/>
          <w:iCs/>
          <w:lang w:val="en-GB"/>
        </w:rPr>
      </w:pPr>
      <w:r w:rsidRPr="008B2C63">
        <w:rPr>
          <w:i/>
          <w:iCs/>
          <w:lang w:val="en-GB"/>
        </w:rPr>
        <w:t xml:space="preserve">Freedom of Information Act 1982, </w:t>
      </w:r>
      <w:r w:rsidR="005B4077" w:rsidRPr="008B2C63">
        <w:rPr>
          <w:i/>
          <w:iCs/>
          <w:lang w:val="en-GB"/>
        </w:rPr>
        <w:t>1, 51, 54, 103</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G</w:t>
      </w:r>
    </w:p>
    <w:p w:rsidR="00282671" w:rsidRPr="008B2C63" w:rsidRDefault="00282671" w:rsidP="00282671">
      <w:pPr>
        <w:spacing w:before="40" w:after="40"/>
        <w:rPr>
          <w:lang w:val="en-GB"/>
        </w:rPr>
      </w:pPr>
      <w:r w:rsidRPr="008B2C63">
        <w:rPr>
          <w:lang w:val="en-GB"/>
        </w:rPr>
        <w:t xml:space="preserve">Gough, Ian, </w:t>
      </w:r>
      <w:r w:rsidRPr="008B2C63">
        <w:rPr>
          <w:i/>
          <w:iCs/>
          <w:lang w:val="en-GB"/>
        </w:rPr>
        <w:t>3</w:t>
      </w:r>
      <w:r w:rsidR="005B4077" w:rsidRPr="008B2C63">
        <w:rPr>
          <w:i/>
          <w:iCs/>
          <w:lang w:val="en-GB"/>
        </w:rPr>
        <w:t>0</w:t>
      </w:r>
      <w:r w:rsidRPr="008B2C63">
        <w:rPr>
          <w:i/>
          <w:iCs/>
          <w:lang w:val="en-GB"/>
        </w:rPr>
        <w:t>–3</w:t>
      </w:r>
      <w:r w:rsidR="005B4077" w:rsidRPr="008B2C63">
        <w:rPr>
          <w:i/>
          <w:iCs/>
          <w:lang w:val="en-GB"/>
        </w:rPr>
        <w:t>5</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H</w:t>
      </w:r>
    </w:p>
    <w:p w:rsidR="00282671" w:rsidRPr="008B2C63" w:rsidRDefault="00282671" w:rsidP="00282671">
      <w:pPr>
        <w:spacing w:before="40" w:after="40"/>
        <w:rPr>
          <w:lang w:val="en-GB"/>
        </w:rPr>
      </w:pPr>
      <w:r w:rsidRPr="008B2C63">
        <w:rPr>
          <w:lang w:val="en-GB"/>
        </w:rPr>
        <w:t xml:space="preserve">Hall, Jane, </w:t>
      </w:r>
      <w:r w:rsidR="00587AB1" w:rsidRPr="008B2C63">
        <w:rPr>
          <w:i/>
          <w:iCs/>
          <w:lang w:val="en-GB"/>
        </w:rPr>
        <w:t>20, 21, 23</w:t>
      </w:r>
    </w:p>
    <w:p w:rsidR="00282671" w:rsidRPr="008B2C63" w:rsidRDefault="00282671" w:rsidP="00282671">
      <w:pPr>
        <w:spacing w:before="40" w:after="40"/>
        <w:rPr>
          <w:lang w:val="en-GB"/>
        </w:rPr>
      </w:pPr>
      <w:r w:rsidRPr="008B2C63">
        <w:rPr>
          <w:lang w:val="en-GB"/>
        </w:rPr>
        <w:t xml:space="preserve">Hospital costing, </w:t>
      </w:r>
      <w:r w:rsidR="00587AB1" w:rsidRPr="008B2C63">
        <w:rPr>
          <w:i/>
          <w:iCs/>
          <w:lang w:val="en-GB"/>
        </w:rPr>
        <w:t>18</w:t>
      </w:r>
    </w:p>
    <w:p w:rsidR="00282671" w:rsidRPr="008B2C63" w:rsidRDefault="00282671" w:rsidP="00282671">
      <w:pPr>
        <w:spacing w:before="40" w:after="40"/>
        <w:rPr>
          <w:lang w:val="en-GB"/>
        </w:rPr>
      </w:pPr>
      <w:r w:rsidRPr="008B2C63">
        <w:rPr>
          <w:lang w:val="en-GB"/>
        </w:rPr>
        <w:t xml:space="preserve">Human resource policies, </w:t>
      </w:r>
      <w:r w:rsidR="00587AB1" w:rsidRPr="008B2C63">
        <w:rPr>
          <w:i/>
          <w:iCs/>
          <w:lang w:val="en-GB"/>
        </w:rPr>
        <w:t>61</w:t>
      </w:r>
    </w:p>
    <w:p w:rsidR="00282671" w:rsidRPr="008B2C63" w:rsidRDefault="00282671" w:rsidP="00282671">
      <w:pPr>
        <w:spacing w:before="40" w:after="40"/>
        <w:rPr>
          <w:lang w:val="en-GB"/>
        </w:rPr>
      </w:pPr>
      <w:r w:rsidRPr="008B2C63">
        <w:rPr>
          <w:lang w:val="en-GB"/>
        </w:rPr>
        <w:t xml:space="preserve">Human resources, </w:t>
      </w:r>
      <w:r w:rsidR="008E3EF2" w:rsidRPr="008B2C63">
        <w:rPr>
          <w:i/>
          <w:iCs/>
          <w:lang w:val="en-GB"/>
        </w:rPr>
        <w:t>19, 56-</w:t>
      </w:r>
      <w:r w:rsidR="00587AB1" w:rsidRPr="008B2C63">
        <w:rPr>
          <w:i/>
          <w:iCs/>
          <w:lang w:val="en-GB"/>
        </w:rPr>
        <w:t>64</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I</w:t>
      </w:r>
    </w:p>
    <w:p w:rsidR="00282671" w:rsidRPr="008B2C63" w:rsidRDefault="00282671" w:rsidP="00282671">
      <w:pPr>
        <w:spacing w:before="40" w:after="40"/>
        <w:rPr>
          <w:lang w:val="en-GB"/>
        </w:rPr>
      </w:pPr>
      <w:r w:rsidRPr="008B2C63">
        <w:rPr>
          <w:lang w:val="en-GB"/>
        </w:rPr>
        <w:t xml:space="preserve">Indigenous, </w:t>
      </w:r>
      <w:r w:rsidR="00587AB1" w:rsidRPr="008B2C63">
        <w:rPr>
          <w:i/>
          <w:iCs/>
          <w:lang w:val="en-GB"/>
        </w:rPr>
        <w:t>55, 61</w:t>
      </w:r>
    </w:p>
    <w:p w:rsidR="00282671" w:rsidRPr="008B2C63" w:rsidRDefault="00282671" w:rsidP="00282671">
      <w:pPr>
        <w:spacing w:before="40" w:after="40"/>
        <w:rPr>
          <w:lang w:val="en-GB"/>
        </w:rPr>
      </w:pPr>
      <w:r w:rsidRPr="008B2C63">
        <w:rPr>
          <w:lang w:val="en-GB"/>
        </w:rPr>
        <w:t xml:space="preserve">Information technology, </w:t>
      </w:r>
      <w:r w:rsidR="00587AB1" w:rsidRPr="008B2C63">
        <w:rPr>
          <w:i/>
          <w:iCs/>
          <w:lang w:val="en-GB"/>
        </w:rPr>
        <w:t>18</w:t>
      </w:r>
    </w:p>
    <w:p w:rsidR="00282671" w:rsidRPr="008B2C63" w:rsidRDefault="00282671" w:rsidP="00282671">
      <w:pPr>
        <w:spacing w:before="40" w:after="40"/>
        <w:rPr>
          <w:lang w:val="en-GB"/>
        </w:rPr>
      </w:pPr>
      <w:r w:rsidRPr="008B2C63">
        <w:rPr>
          <w:lang w:val="en-GB"/>
        </w:rPr>
        <w:t xml:space="preserve">Inpatients, </w:t>
      </w:r>
      <w:r w:rsidR="009D06AE" w:rsidRPr="008B2C63">
        <w:rPr>
          <w:i/>
          <w:iCs/>
          <w:lang w:val="en-GB"/>
        </w:rPr>
        <w:t>1</w:t>
      </w:r>
      <w:r w:rsidR="00587AB1" w:rsidRPr="008B2C63">
        <w:rPr>
          <w:i/>
          <w:iCs/>
          <w:lang w:val="en-GB"/>
        </w:rPr>
        <w:t>6</w:t>
      </w:r>
    </w:p>
    <w:p w:rsidR="00282671" w:rsidRPr="008B2C63" w:rsidRDefault="00282671" w:rsidP="00282671">
      <w:pPr>
        <w:spacing w:before="40" w:after="40"/>
        <w:rPr>
          <w:lang w:val="en-GB"/>
        </w:rPr>
      </w:pPr>
      <w:r w:rsidRPr="008B2C63">
        <w:rPr>
          <w:lang w:val="en-GB"/>
        </w:rPr>
        <w:t xml:space="preserve">International statistical classification of diseases and related health problems, </w:t>
      </w:r>
      <w:r w:rsidR="00587AB1" w:rsidRPr="008B2C63">
        <w:rPr>
          <w:i/>
          <w:iCs/>
          <w:lang w:val="en-GB"/>
        </w:rPr>
        <w:t>14, 15, 18, 34, 37, 39</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J</w:t>
      </w:r>
    </w:p>
    <w:p w:rsidR="00282671" w:rsidRPr="008B2C63" w:rsidRDefault="00282671" w:rsidP="00282671">
      <w:pPr>
        <w:spacing w:before="40" w:after="40"/>
        <w:rPr>
          <w:lang w:val="en-GB"/>
        </w:rPr>
      </w:pPr>
      <w:r w:rsidRPr="008B2C63">
        <w:rPr>
          <w:lang w:val="en-GB"/>
        </w:rPr>
        <w:t xml:space="preserve">Jurisdictions, </w:t>
      </w:r>
      <w:r w:rsidR="00587AB1" w:rsidRPr="008B2C63">
        <w:rPr>
          <w:i/>
          <w:iCs/>
          <w:lang w:val="en-GB"/>
        </w:rPr>
        <w:t>6, 12, 13, 18, 24, 26, 31, 37, 38, 39, 40, 41</w:t>
      </w:r>
    </w:p>
    <w:p w:rsidR="00282671" w:rsidRPr="008B2C63" w:rsidRDefault="00282671" w:rsidP="00282671">
      <w:pPr>
        <w:spacing w:before="40" w:after="40"/>
        <w:rPr>
          <w:i/>
          <w:iCs/>
          <w:lang w:val="en-GB"/>
        </w:rPr>
      </w:pPr>
      <w:r w:rsidRPr="008B2C63">
        <w:rPr>
          <w:lang w:val="en-GB"/>
        </w:rPr>
        <w:t xml:space="preserve">Jurisdictional Advisory Committee (JAC), </w:t>
      </w:r>
      <w:r w:rsidR="00587AB1" w:rsidRPr="008B2C63">
        <w:rPr>
          <w:i/>
          <w:iCs/>
          <w:lang w:val="en-GB"/>
        </w:rPr>
        <w:t>24, 26, 37</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L</w:t>
      </w:r>
    </w:p>
    <w:p w:rsidR="00282671" w:rsidRPr="008B2C63" w:rsidRDefault="00282671" w:rsidP="00282671">
      <w:pPr>
        <w:spacing w:before="40" w:after="40"/>
        <w:rPr>
          <w:lang w:val="en-GB"/>
        </w:rPr>
      </w:pPr>
      <w:r w:rsidRPr="008B2C63">
        <w:rPr>
          <w:lang w:val="en-GB"/>
        </w:rPr>
        <w:t xml:space="preserve">Ley, Sussan, MP, </w:t>
      </w:r>
      <w:r w:rsidR="00587AB1" w:rsidRPr="008B2C63">
        <w:rPr>
          <w:i/>
          <w:lang w:val="en-GB"/>
        </w:rPr>
        <w:t>1, 2</w:t>
      </w:r>
    </w:p>
    <w:p w:rsidR="00282671" w:rsidRPr="008B2C63" w:rsidRDefault="00282671" w:rsidP="00282671">
      <w:pPr>
        <w:spacing w:before="40" w:after="40"/>
        <w:rPr>
          <w:lang w:val="en-GB"/>
        </w:rPr>
      </w:pPr>
      <w:r w:rsidRPr="008B2C63">
        <w:rPr>
          <w:lang w:val="en-GB"/>
        </w:rPr>
        <w:t xml:space="preserve">Local Hospital Networks (LHN), </w:t>
      </w:r>
      <w:r w:rsidRPr="008B2C63">
        <w:rPr>
          <w:i/>
          <w:iCs/>
          <w:lang w:val="en-GB"/>
        </w:rPr>
        <w:t>10, 21, 45</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M</w:t>
      </w:r>
    </w:p>
    <w:p w:rsidR="00282671" w:rsidRPr="008B2C63" w:rsidRDefault="00282671" w:rsidP="00282671">
      <w:pPr>
        <w:spacing w:before="40" w:after="40"/>
        <w:rPr>
          <w:lang w:val="en-GB"/>
        </w:rPr>
      </w:pPr>
      <w:r w:rsidRPr="008B2C63">
        <w:rPr>
          <w:lang w:val="en-GB"/>
        </w:rPr>
        <w:t xml:space="preserve">Mental health, </w:t>
      </w:r>
      <w:r w:rsidR="00587AB1" w:rsidRPr="008B2C63">
        <w:rPr>
          <w:i/>
          <w:iCs/>
          <w:lang w:val="en-GB"/>
        </w:rPr>
        <w:t>12, 13, 14, 15, 16, 18, 19, 24, 27, 30, 34, 37, 39, 42, 48, 56, 65</w:t>
      </w:r>
    </w:p>
    <w:p w:rsidR="00282671" w:rsidRPr="008B2C63" w:rsidRDefault="00282671" w:rsidP="00282671">
      <w:pPr>
        <w:spacing w:before="40" w:after="40"/>
        <w:rPr>
          <w:lang w:val="en-GB"/>
        </w:rPr>
      </w:pPr>
      <w:r w:rsidRPr="008B2C63">
        <w:rPr>
          <w:lang w:val="en-GB"/>
        </w:rPr>
        <w:t xml:space="preserve">Minister for Health, </w:t>
      </w:r>
      <w:r w:rsidR="00587AB1" w:rsidRPr="008B2C63">
        <w:rPr>
          <w:i/>
          <w:lang w:val="en-GB"/>
        </w:rPr>
        <w:t>1, 2, 6, 17, 20, 26, 31</w:t>
      </w:r>
    </w:p>
    <w:p w:rsidR="00282671" w:rsidRPr="008B2C63" w:rsidRDefault="00282671" w:rsidP="00282671">
      <w:pPr>
        <w:spacing w:before="40" w:after="40"/>
        <w:rPr>
          <w:lang w:val="en-GB"/>
        </w:rPr>
      </w:pPr>
      <w:r w:rsidRPr="008B2C63">
        <w:rPr>
          <w:lang w:val="en-GB"/>
        </w:rPr>
        <w:t xml:space="preserve">Morris, Alan, </w:t>
      </w:r>
      <w:r w:rsidR="00587AB1" w:rsidRPr="008B2C63">
        <w:rPr>
          <w:i/>
          <w:iCs/>
          <w:lang w:val="en-GB"/>
        </w:rPr>
        <w:t>20, 21, 22, 23</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N</w:t>
      </w:r>
    </w:p>
    <w:p w:rsidR="00282671" w:rsidRPr="008B2C63" w:rsidRDefault="00282671" w:rsidP="00282671">
      <w:pPr>
        <w:spacing w:before="40" w:after="40"/>
        <w:rPr>
          <w:lang w:val="en-GB"/>
        </w:rPr>
      </w:pPr>
      <w:r w:rsidRPr="008B2C63">
        <w:rPr>
          <w:lang w:val="en-GB"/>
        </w:rPr>
        <w:t xml:space="preserve">National Cost Model, </w:t>
      </w:r>
      <w:r w:rsidR="0095307C" w:rsidRPr="008B2C63">
        <w:rPr>
          <w:i/>
          <w:iCs/>
          <w:lang w:val="en-GB"/>
        </w:rPr>
        <w:t>38</w:t>
      </w:r>
    </w:p>
    <w:p w:rsidR="00282671" w:rsidRPr="008B2C63" w:rsidRDefault="00282671" w:rsidP="00282671">
      <w:pPr>
        <w:spacing w:before="40" w:after="40"/>
        <w:rPr>
          <w:rStyle w:val="Emphasis"/>
        </w:rPr>
      </w:pPr>
      <w:r w:rsidRPr="008B2C63">
        <w:rPr>
          <w:lang w:val="en-GB"/>
        </w:rPr>
        <w:t xml:space="preserve">National Efficient Cost Determination 2014–15, </w:t>
      </w:r>
      <w:r w:rsidR="00587AB1" w:rsidRPr="008B2C63">
        <w:rPr>
          <w:rStyle w:val="Emphasis"/>
        </w:rPr>
        <w:t>30</w:t>
      </w:r>
    </w:p>
    <w:p w:rsidR="00282671" w:rsidRPr="008B2C63" w:rsidRDefault="00282671" w:rsidP="00282671">
      <w:pPr>
        <w:spacing w:before="40" w:after="40"/>
        <w:rPr>
          <w:lang w:val="en-GB"/>
        </w:rPr>
      </w:pPr>
      <w:r w:rsidRPr="008B2C63">
        <w:rPr>
          <w:lang w:val="en-GB"/>
        </w:rPr>
        <w:t xml:space="preserve">National Health Performance Authority, </w:t>
      </w:r>
      <w:r w:rsidR="00587AB1" w:rsidRPr="008B2C63">
        <w:rPr>
          <w:i/>
          <w:iCs/>
          <w:lang w:val="en-GB"/>
        </w:rPr>
        <w:t>6</w:t>
      </w:r>
    </w:p>
    <w:p w:rsidR="00282671" w:rsidRPr="008B2C63" w:rsidRDefault="00282671" w:rsidP="00282671">
      <w:pPr>
        <w:spacing w:before="40" w:after="40"/>
        <w:rPr>
          <w:lang w:val="en-GB"/>
        </w:rPr>
      </w:pPr>
      <w:r w:rsidRPr="008B2C63">
        <w:rPr>
          <w:iCs/>
          <w:lang w:val="en-GB"/>
        </w:rPr>
        <w:t>National Health Reform Act 2011</w:t>
      </w:r>
      <w:r w:rsidRPr="008B2C63">
        <w:rPr>
          <w:lang w:val="en-GB"/>
        </w:rPr>
        <w:t xml:space="preserve">, </w:t>
      </w:r>
      <w:r w:rsidR="00587AB1" w:rsidRPr="008B2C63">
        <w:rPr>
          <w:i/>
          <w:lang w:val="en-GB"/>
        </w:rPr>
        <w:t xml:space="preserve">1, 5, 6, 12, </w:t>
      </w:r>
      <w:r w:rsidR="0095307C" w:rsidRPr="008B2C63">
        <w:rPr>
          <w:i/>
          <w:lang w:val="en-GB"/>
        </w:rPr>
        <w:t>18</w:t>
      </w:r>
      <w:r w:rsidR="00587AB1" w:rsidRPr="008B2C63">
        <w:rPr>
          <w:i/>
          <w:lang w:val="en-GB"/>
        </w:rPr>
        <w:t xml:space="preserve">, 24, 26, 31, 37, 44, 50, 51, 111, </w:t>
      </w:r>
      <w:r w:rsidR="0095307C" w:rsidRPr="008B2C63">
        <w:rPr>
          <w:i/>
          <w:lang w:val="en-GB"/>
        </w:rPr>
        <w:t>115</w:t>
      </w:r>
    </w:p>
    <w:p w:rsidR="00282671" w:rsidRPr="008B2C63" w:rsidRDefault="00282671" w:rsidP="00282671">
      <w:pPr>
        <w:spacing w:before="40" w:after="40"/>
        <w:rPr>
          <w:i/>
          <w:iCs/>
          <w:lang w:val="en-GB"/>
        </w:rPr>
      </w:pPr>
      <w:r w:rsidRPr="008B2C63">
        <w:rPr>
          <w:lang w:val="en-GB"/>
        </w:rPr>
        <w:t xml:space="preserve">National Health Reform Agreement (NHRA) 2011, </w:t>
      </w:r>
      <w:r w:rsidR="00587AB1" w:rsidRPr="008B2C63">
        <w:rPr>
          <w:i/>
          <w:iCs/>
          <w:lang w:val="en-GB"/>
        </w:rPr>
        <w:t>30, 31, 38, 40, 44, 50, 51, 65</w:t>
      </w:r>
    </w:p>
    <w:p w:rsidR="00282671" w:rsidRPr="008B2C63" w:rsidRDefault="00282671" w:rsidP="00282671">
      <w:pPr>
        <w:spacing w:before="40" w:after="40"/>
        <w:rPr>
          <w:lang w:val="en-GB"/>
        </w:rPr>
      </w:pPr>
      <w:r w:rsidRPr="008B2C63">
        <w:rPr>
          <w:lang w:val="en-GB"/>
        </w:rPr>
        <w:t xml:space="preserve">National Hospital Cost Data Collection (NHCDC), </w:t>
      </w:r>
      <w:r w:rsidR="00587AB1" w:rsidRPr="008B2C63">
        <w:rPr>
          <w:i/>
          <w:iCs/>
          <w:lang w:val="en-GB"/>
        </w:rPr>
        <w:t>12, 14, 15, 18, 24, 27, 40</w:t>
      </w:r>
    </w:p>
    <w:p w:rsidR="00282671" w:rsidRPr="008B2C63" w:rsidRDefault="00282671" w:rsidP="00282671">
      <w:pPr>
        <w:spacing w:before="40" w:after="40"/>
        <w:rPr>
          <w:lang w:val="en-GB"/>
        </w:rPr>
      </w:pPr>
      <w:r w:rsidRPr="008B2C63">
        <w:rPr>
          <w:lang w:val="en-GB"/>
        </w:rPr>
        <w:t xml:space="preserve">National Pricing Model, </w:t>
      </w:r>
      <w:r w:rsidR="00587AB1" w:rsidRPr="008B2C63">
        <w:rPr>
          <w:i/>
          <w:iCs/>
          <w:lang w:val="en-GB"/>
        </w:rPr>
        <w:t>19, 38</w:t>
      </w:r>
    </w:p>
    <w:p w:rsidR="00282671" w:rsidRPr="008B2C63" w:rsidRDefault="00282671" w:rsidP="00282671">
      <w:pPr>
        <w:spacing w:before="40" w:after="40"/>
        <w:rPr>
          <w:lang w:val="en-GB"/>
        </w:rPr>
      </w:pPr>
      <w:r w:rsidRPr="008B2C63">
        <w:rPr>
          <w:lang w:val="en-GB"/>
        </w:rPr>
        <w:t xml:space="preserve">National Weighted Activity Unit (NWAU), </w:t>
      </w:r>
      <w:r w:rsidR="00587AB1" w:rsidRPr="008B2C63">
        <w:rPr>
          <w:i/>
          <w:iCs/>
          <w:lang w:val="en-GB"/>
        </w:rPr>
        <w:t>8, 43, 113, 115</w:t>
      </w:r>
    </w:p>
    <w:p w:rsidR="00282671" w:rsidRPr="008B2C63" w:rsidRDefault="00282671" w:rsidP="00282671">
      <w:pPr>
        <w:spacing w:before="40" w:after="40"/>
        <w:rPr>
          <w:lang w:val="en-GB"/>
        </w:rPr>
      </w:pPr>
      <w:r w:rsidRPr="008B2C63">
        <w:rPr>
          <w:lang w:val="en-GB"/>
        </w:rPr>
        <w:t xml:space="preserve">Non-admitted, </w:t>
      </w:r>
      <w:r w:rsidR="00587AB1" w:rsidRPr="008B2C63">
        <w:rPr>
          <w:i/>
          <w:iCs/>
          <w:lang w:val="en-GB"/>
        </w:rPr>
        <w:t>14, 15, 18, 24, 27, 39, 42, 44</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O</w:t>
      </w:r>
    </w:p>
    <w:p w:rsidR="00282671" w:rsidRPr="008B2C63" w:rsidRDefault="00282671" w:rsidP="00282671">
      <w:pPr>
        <w:spacing w:before="40" w:after="40"/>
        <w:rPr>
          <w:lang w:val="en-GB"/>
        </w:rPr>
      </w:pPr>
      <w:r w:rsidRPr="008B2C63">
        <w:rPr>
          <w:lang w:val="en-GB"/>
        </w:rPr>
        <w:t xml:space="preserve">Office of the CEO, </w:t>
      </w:r>
      <w:r w:rsidR="00587AB1" w:rsidRPr="008B2C63">
        <w:rPr>
          <w:i/>
          <w:iCs/>
          <w:lang w:val="en-GB"/>
        </w:rPr>
        <w:t>19</w:t>
      </w:r>
    </w:p>
    <w:p w:rsidR="00282671" w:rsidRPr="008B2C63" w:rsidRDefault="00282671" w:rsidP="00282671">
      <w:pPr>
        <w:spacing w:before="40" w:after="40"/>
        <w:rPr>
          <w:lang w:val="en-GB"/>
        </w:rPr>
      </w:pPr>
      <w:r w:rsidRPr="008B2C63">
        <w:rPr>
          <w:lang w:val="en-GB"/>
        </w:rPr>
        <w:t xml:space="preserve">Online data validations, </w:t>
      </w:r>
      <w:r w:rsidR="00587AB1" w:rsidRPr="008B2C63">
        <w:rPr>
          <w:i/>
          <w:iCs/>
          <w:lang w:val="en-GB"/>
        </w:rPr>
        <w:t>40</w:t>
      </w:r>
    </w:p>
    <w:p w:rsidR="00282671" w:rsidRPr="008B2C63" w:rsidRDefault="00282671" w:rsidP="00282671">
      <w:pPr>
        <w:spacing w:before="40" w:after="40"/>
        <w:rPr>
          <w:lang w:val="en-GB"/>
        </w:rPr>
      </w:pPr>
      <w:r w:rsidRPr="008B2C63">
        <w:rPr>
          <w:lang w:val="en-GB"/>
        </w:rPr>
        <w:t xml:space="preserve">Organisational structure, </w:t>
      </w:r>
      <w:r w:rsidR="00587AB1" w:rsidRPr="008B2C63">
        <w:rPr>
          <w:i/>
          <w:iCs/>
          <w:lang w:val="en-GB"/>
        </w:rPr>
        <w:t>17, 51</w:t>
      </w:r>
    </w:p>
    <w:p w:rsidR="00282671" w:rsidRPr="008B2C63" w:rsidRDefault="00282671" w:rsidP="00282671">
      <w:pPr>
        <w:spacing w:before="40" w:after="40"/>
        <w:rPr>
          <w:lang w:val="en-GB"/>
        </w:rPr>
      </w:pPr>
      <w:r w:rsidRPr="008B2C63">
        <w:rPr>
          <w:lang w:val="en-GB"/>
        </w:rPr>
        <w:t xml:space="preserve">Outpatients, </w:t>
      </w:r>
      <w:r w:rsidRPr="008B2C63">
        <w:rPr>
          <w:i/>
          <w:iCs/>
          <w:lang w:val="en-GB"/>
        </w:rPr>
        <w:t>18</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P</w:t>
      </w:r>
    </w:p>
    <w:p w:rsidR="00282671" w:rsidRPr="008B2C63" w:rsidRDefault="00282671" w:rsidP="00282671">
      <w:pPr>
        <w:spacing w:before="40" w:after="40"/>
        <w:rPr>
          <w:lang w:val="en-GB"/>
        </w:rPr>
      </w:pPr>
      <w:r w:rsidRPr="008B2C63">
        <w:rPr>
          <w:lang w:val="en-GB"/>
        </w:rPr>
        <w:t xml:space="preserve">Policy development, </w:t>
      </w:r>
      <w:r w:rsidR="00B23906" w:rsidRPr="008B2C63">
        <w:rPr>
          <w:i/>
          <w:iCs/>
          <w:lang w:val="en-GB"/>
        </w:rPr>
        <w:t>1, 19, 56, 64</w:t>
      </w:r>
    </w:p>
    <w:p w:rsidR="00282671" w:rsidRPr="008B2C63" w:rsidRDefault="00282671" w:rsidP="00282671">
      <w:pPr>
        <w:spacing w:before="40" w:after="40"/>
        <w:rPr>
          <w:lang w:val="en-GB"/>
        </w:rPr>
      </w:pPr>
      <w:r w:rsidRPr="008B2C63">
        <w:rPr>
          <w:lang w:val="en-GB"/>
        </w:rPr>
        <w:t xml:space="preserve">Portfolio budget statements, </w:t>
      </w:r>
      <w:r w:rsidR="00B23906" w:rsidRPr="008B2C63">
        <w:rPr>
          <w:i/>
          <w:iCs/>
          <w:lang w:val="en-GB"/>
        </w:rPr>
        <w:t>37, 98, 114</w:t>
      </w:r>
    </w:p>
    <w:p w:rsidR="00282671" w:rsidRPr="008B2C63" w:rsidRDefault="00282671" w:rsidP="00282671">
      <w:pPr>
        <w:spacing w:before="40" w:after="40"/>
        <w:rPr>
          <w:lang w:val="en-GB"/>
        </w:rPr>
      </w:pPr>
      <w:r w:rsidRPr="008B2C63">
        <w:rPr>
          <w:lang w:val="en-GB"/>
        </w:rPr>
        <w:t xml:space="preserve">Pricing, </w:t>
      </w:r>
      <w:r w:rsidR="00B23906" w:rsidRPr="008B2C63">
        <w:rPr>
          <w:i/>
          <w:iCs/>
          <w:lang w:val="en-GB"/>
        </w:rPr>
        <w:t>34, 37, 38, 42, 48</w:t>
      </w:r>
    </w:p>
    <w:p w:rsidR="00282671" w:rsidRPr="008B2C63" w:rsidRDefault="00282671" w:rsidP="00282671">
      <w:pPr>
        <w:spacing w:before="40" w:after="40"/>
        <w:rPr>
          <w:lang w:val="en-GB"/>
        </w:rPr>
      </w:pPr>
      <w:r w:rsidRPr="008B2C63">
        <w:rPr>
          <w:lang w:val="en-GB"/>
        </w:rPr>
        <w:t xml:space="preserve">Pricing Authority, </w:t>
      </w:r>
      <w:r w:rsidR="00B23906" w:rsidRPr="008B2C63">
        <w:rPr>
          <w:i/>
          <w:lang w:val="en-GB"/>
        </w:rPr>
        <w:t>1,</w:t>
      </w:r>
      <w:r w:rsidR="00B23906" w:rsidRPr="008B2C63">
        <w:rPr>
          <w:lang w:val="en-GB"/>
        </w:rPr>
        <w:t xml:space="preserve"> </w:t>
      </w:r>
      <w:r w:rsidR="00B23906" w:rsidRPr="008B2C63">
        <w:rPr>
          <w:i/>
          <w:iCs/>
          <w:lang w:val="en-GB"/>
        </w:rPr>
        <w:t>3-6</w:t>
      </w:r>
      <w:r w:rsidRPr="008B2C63">
        <w:rPr>
          <w:i/>
          <w:iCs/>
          <w:lang w:val="en-GB"/>
        </w:rPr>
        <w:t xml:space="preserve">, </w:t>
      </w:r>
      <w:r w:rsidR="00B23906" w:rsidRPr="008B2C63">
        <w:rPr>
          <w:i/>
          <w:iCs/>
          <w:lang w:val="en-GB"/>
        </w:rPr>
        <w:t>48, 51, 52, 65, 75, 76</w:t>
      </w:r>
    </w:p>
    <w:p w:rsidR="00282671" w:rsidRPr="008B2C63" w:rsidRDefault="00282671" w:rsidP="00282671">
      <w:pPr>
        <w:spacing w:before="40" w:after="40"/>
        <w:rPr>
          <w:lang w:val="en-GB"/>
        </w:rPr>
      </w:pPr>
      <w:r w:rsidRPr="008B2C63">
        <w:rPr>
          <w:lang w:val="en-GB"/>
        </w:rPr>
        <w:t xml:space="preserve">Pricing Framework for Australian Public Hospital Services, </w:t>
      </w:r>
      <w:r w:rsidR="00B23906" w:rsidRPr="008B2C63">
        <w:rPr>
          <w:i/>
          <w:iCs/>
          <w:lang w:val="en-GB"/>
        </w:rPr>
        <w:t>6, 13, 14, 19, 30, 34, 37, 42, 43, 48, 107</w:t>
      </w:r>
    </w:p>
    <w:p w:rsidR="00282671" w:rsidRPr="008B2C63" w:rsidRDefault="00282671" w:rsidP="00282671">
      <w:pPr>
        <w:spacing w:before="40" w:after="40"/>
        <w:rPr>
          <w:lang w:val="en-GB"/>
        </w:rPr>
      </w:pPr>
      <w:r w:rsidRPr="008B2C63">
        <w:rPr>
          <w:i/>
          <w:iCs/>
          <w:lang w:val="en-GB"/>
        </w:rPr>
        <w:t>Public Governance, Performance and Accountability Act</w:t>
      </w:r>
      <w:r w:rsidRPr="008B2C63">
        <w:rPr>
          <w:lang w:val="en-GB"/>
        </w:rPr>
        <w:t xml:space="preserve"> </w:t>
      </w:r>
      <w:r w:rsidRPr="008B2C63">
        <w:rPr>
          <w:i/>
          <w:iCs/>
          <w:lang w:val="en-GB"/>
        </w:rPr>
        <w:t>2013</w:t>
      </w:r>
      <w:r w:rsidRPr="008B2C63">
        <w:rPr>
          <w:lang w:val="en-GB"/>
        </w:rPr>
        <w:t xml:space="preserve">, </w:t>
      </w:r>
      <w:r w:rsidR="00B23906" w:rsidRPr="008B2C63">
        <w:rPr>
          <w:i/>
          <w:iCs/>
          <w:lang w:val="en-GB"/>
        </w:rPr>
        <w:t>2, 69, 75, 76, 115</w:t>
      </w:r>
    </w:p>
    <w:p w:rsidR="00282671" w:rsidRPr="008B2C63" w:rsidRDefault="00282671" w:rsidP="00282671">
      <w:pPr>
        <w:spacing w:before="40" w:after="40"/>
        <w:rPr>
          <w:lang w:val="en-GB"/>
        </w:rPr>
      </w:pPr>
      <w:r w:rsidRPr="008B2C63">
        <w:rPr>
          <w:lang w:val="en-GB"/>
        </w:rPr>
        <w:t xml:space="preserve">Public hospital services, </w:t>
      </w:r>
      <w:r w:rsidR="00B23906" w:rsidRPr="008B2C63">
        <w:rPr>
          <w:i/>
          <w:iCs/>
          <w:lang w:val="en-GB"/>
        </w:rPr>
        <w:t>34, 35, 37, 38, 42, 44, 48, 75, 98, 107, 111</w:t>
      </w:r>
    </w:p>
    <w:p w:rsidR="00282671" w:rsidRPr="008B2C63" w:rsidRDefault="00282671" w:rsidP="00282671">
      <w:pPr>
        <w:spacing w:before="40" w:after="40"/>
        <w:rPr>
          <w:lang w:val="en-GB"/>
        </w:rPr>
      </w:pPr>
      <w:r w:rsidRPr="008B2C63">
        <w:rPr>
          <w:i/>
          <w:iCs/>
          <w:lang w:val="en-GB"/>
        </w:rPr>
        <w:t>Public Service Act 1999</w:t>
      </w:r>
      <w:r w:rsidRPr="008B2C63">
        <w:rPr>
          <w:lang w:val="en-GB"/>
        </w:rPr>
        <w:t xml:space="preserve">, </w:t>
      </w:r>
      <w:r w:rsidR="00B23906" w:rsidRPr="008B2C63">
        <w:rPr>
          <w:i/>
          <w:iCs/>
          <w:lang w:val="en-GB"/>
        </w:rPr>
        <w:t>59, 60, 61, 114</w:t>
      </w:r>
    </w:p>
    <w:p w:rsidR="00282671" w:rsidRPr="008B2C63" w:rsidRDefault="00282671" w:rsidP="00282671">
      <w:pPr>
        <w:spacing w:before="40" w:after="40"/>
        <w:rPr>
          <w:lang w:val="en-GB"/>
        </w:rPr>
      </w:pPr>
      <w:r w:rsidRPr="008B2C63">
        <w:rPr>
          <w:lang w:val="en-GB"/>
        </w:rPr>
        <w:t xml:space="preserve">Purchasing/contracting, </w:t>
      </w:r>
      <w:r w:rsidR="00B23906" w:rsidRPr="008B2C63">
        <w:rPr>
          <w:i/>
          <w:iCs/>
          <w:lang w:val="en-GB"/>
        </w:rPr>
        <w:t>54-55</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R</w:t>
      </w:r>
    </w:p>
    <w:p w:rsidR="00282671" w:rsidRPr="008B2C63" w:rsidRDefault="00282671" w:rsidP="00282671">
      <w:pPr>
        <w:spacing w:before="40" w:after="40"/>
        <w:rPr>
          <w:lang w:val="en-GB"/>
        </w:rPr>
      </w:pPr>
      <w:r w:rsidRPr="008B2C63">
        <w:rPr>
          <w:lang w:val="en-GB"/>
        </w:rPr>
        <w:t xml:space="preserve">Recruitment, </w:t>
      </w:r>
      <w:r w:rsidR="00B23906" w:rsidRPr="008B2C63">
        <w:rPr>
          <w:i/>
          <w:iCs/>
          <w:lang w:val="en-GB"/>
        </w:rPr>
        <w:t>56, 65, 82, 99, 102</w:t>
      </w:r>
    </w:p>
    <w:p w:rsidR="00282671" w:rsidRPr="008B2C63" w:rsidRDefault="00282671" w:rsidP="00282671">
      <w:pPr>
        <w:spacing w:before="40" w:after="40"/>
        <w:rPr>
          <w:lang w:val="en-GB"/>
        </w:rPr>
      </w:pPr>
      <w:r w:rsidRPr="008B2C63">
        <w:rPr>
          <w:lang w:val="en-GB"/>
        </w:rPr>
        <w:t xml:space="preserve">Regional and remote, </w:t>
      </w:r>
      <w:r w:rsidR="00B23906" w:rsidRPr="008B2C63">
        <w:rPr>
          <w:i/>
          <w:iCs/>
          <w:lang w:val="en-GB"/>
        </w:rPr>
        <w:t>7, 16, 114</w:t>
      </w:r>
    </w:p>
    <w:p w:rsidR="00282671" w:rsidRPr="008B2C63" w:rsidRDefault="00282671" w:rsidP="00282671">
      <w:pPr>
        <w:spacing w:before="40" w:after="40"/>
        <w:rPr>
          <w:lang w:val="en-GB"/>
        </w:rPr>
      </w:pPr>
      <w:r w:rsidRPr="008B2C63">
        <w:rPr>
          <w:lang w:val="en-GB"/>
        </w:rPr>
        <w:t xml:space="preserve">Relocation, </w:t>
      </w:r>
      <w:r w:rsidR="00B23906" w:rsidRPr="008B2C63">
        <w:rPr>
          <w:i/>
          <w:iCs/>
          <w:lang w:val="en-GB"/>
        </w:rPr>
        <w:t>82</w:t>
      </w:r>
    </w:p>
    <w:p w:rsidR="00282671" w:rsidRPr="008B2C63" w:rsidRDefault="00282671" w:rsidP="00282671">
      <w:pPr>
        <w:spacing w:before="40" w:after="40"/>
        <w:rPr>
          <w:lang w:val="en-GB"/>
        </w:rPr>
      </w:pPr>
      <w:r w:rsidRPr="008B2C63">
        <w:rPr>
          <w:lang w:val="en-GB"/>
        </w:rPr>
        <w:t xml:space="preserve">Remote areas, </w:t>
      </w:r>
      <w:r w:rsidR="00B23906" w:rsidRPr="008B2C63">
        <w:rPr>
          <w:i/>
          <w:iCs/>
          <w:lang w:val="en-GB"/>
        </w:rPr>
        <w:t>79, 115</w:t>
      </w:r>
    </w:p>
    <w:p w:rsidR="00282671" w:rsidRPr="008B2C63" w:rsidRDefault="00282671" w:rsidP="00282671">
      <w:pPr>
        <w:spacing w:before="40" w:after="40"/>
        <w:rPr>
          <w:lang w:val="en-GB"/>
        </w:rPr>
      </w:pPr>
      <w:r w:rsidRPr="008B2C63">
        <w:rPr>
          <w:lang w:val="en-GB"/>
        </w:rPr>
        <w:t xml:space="preserve">Remuneration Tribunal, </w:t>
      </w:r>
      <w:r w:rsidR="00B23906" w:rsidRPr="008B2C63">
        <w:rPr>
          <w:i/>
          <w:iCs/>
          <w:lang w:val="en-GB"/>
        </w:rPr>
        <w:t>31, 59, 78</w:t>
      </w:r>
    </w:p>
    <w:p w:rsidR="00282671" w:rsidRPr="008B2C63" w:rsidRDefault="00282671" w:rsidP="00282671">
      <w:pPr>
        <w:spacing w:before="40" w:after="40"/>
        <w:rPr>
          <w:lang w:val="en-GB"/>
        </w:rPr>
      </w:pPr>
      <w:r w:rsidRPr="008B2C63">
        <w:rPr>
          <w:lang w:val="en-GB"/>
        </w:rPr>
        <w:t xml:space="preserve">Risk management, </w:t>
      </w:r>
      <w:r w:rsidR="0095307C" w:rsidRPr="008B2C63">
        <w:rPr>
          <w:lang w:val="en-GB"/>
        </w:rPr>
        <w:t xml:space="preserve">48, </w:t>
      </w:r>
      <w:r w:rsidR="00B23906" w:rsidRPr="008B2C63">
        <w:rPr>
          <w:i/>
          <w:iCs/>
          <w:lang w:val="en-GB"/>
        </w:rPr>
        <w:t xml:space="preserve">51, 52-54, </w:t>
      </w:r>
    </w:p>
    <w:p w:rsidR="00282671" w:rsidRPr="008B2C63" w:rsidRDefault="00282671" w:rsidP="00282671">
      <w:pPr>
        <w:spacing w:before="40" w:after="40"/>
        <w:rPr>
          <w:lang w:val="en-GB"/>
        </w:rPr>
      </w:pPr>
      <w:r w:rsidRPr="008B2C63">
        <w:rPr>
          <w:lang w:val="en-GB"/>
        </w:rPr>
        <w:t xml:space="preserve">Risk, control and compliance framework, </w:t>
      </w:r>
      <w:r w:rsidRPr="008B2C63">
        <w:rPr>
          <w:i/>
          <w:iCs/>
          <w:lang w:val="en-GB"/>
        </w:rPr>
        <w:t>30, 49, 51-54, 119-120</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S</w:t>
      </w:r>
    </w:p>
    <w:p w:rsidR="00282671" w:rsidRPr="008B2C63" w:rsidRDefault="00282671" w:rsidP="00282671">
      <w:pPr>
        <w:spacing w:before="40" w:after="40"/>
        <w:rPr>
          <w:lang w:val="en-GB"/>
        </w:rPr>
      </w:pPr>
      <w:r w:rsidRPr="008B2C63">
        <w:rPr>
          <w:lang w:val="en-GB"/>
        </w:rPr>
        <w:t xml:space="preserve">Salary structure, </w:t>
      </w:r>
      <w:r w:rsidRPr="008B2C63">
        <w:rPr>
          <w:i/>
          <w:iCs/>
          <w:lang w:val="en-GB"/>
        </w:rPr>
        <w:t>5</w:t>
      </w:r>
      <w:r w:rsidR="00B23906" w:rsidRPr="008B2C63">
        <w:rPr>
          <w:i/>
          <w:iCs/>
          <w:lang w:val="en-GB"/>
        </w:rPr>
        <w:t>7</w:t>
      </w:r>
    </w:p>
    <w:p w:rsidR="00282671" w:rsidRPr="008B2C63" w:rsidRDefault="00282671" w:rsidP="00282671">
      <w:pPr>
        <w:spacing w:before="40" w:after="40"/>
        <w:rPr>
          <w:lang w:val="en-GB"/>
        </w:rPr>
      </w:pPr>
      <w:r w:rsidRPr="008B2C63">
        <w:rPr>
          <w:lang w:val="en-GB"/>
        </w:rPr>
        <w:t xml:space="preserve">Secure data exchange infrastructure, </w:t>
      </w:r>
      <w:r w:rsidR="00B23906" w:rsidRPr="008B2C63">
        <w:rPr>
          <w:i/>
          <w:iCs/>
          <w:lang w:val="en-GB"/>
        </w:rPr>
        <w:t>34</w:t>
      </w:r>
    </w:p>
    <w:p w:rsidR="00282671" w:rsidRPr="008B2C63" w:rsidRDefault="00282671" w:rsidP="00282671">
      <w:pPr>
        <w:spacing w:before="40" w:after="40"/>
        <w:rPr>
          <w:lang w:val="en-GB"/>
        </w:rPr>
      </w:pPr>
      <w:r w:rsidRPr="008B2C63">
        <w:rPr>
          <w:lang w:val="en-GB"/>
        </w:rPr>
        <w:t xml:space="preserve">Senior management committees, </w:t>
      </w:r>
      <w:r w:rsidR="00B23906" w:rsidRPr="008B2C63">
        <w:rPr>
          <w:i/>
          <w:iCs/>
          <w:lang w:val="en-GB"/>
        </w:rPr>
        <w:t>25, 28</w:t>
      </w:r>
    </w:p>
    <w:p w:rsidR="00282671" w:rsidRPr="008B2C63" w:rsidRDefault="00282671" w:rsidP="00282671">
      <w:pPr>
        <w:spacing w:before="40" w:after="40"/>
        <w:rPr>
          <w:lang w:val="en-GB"/>
        </w:rPr>
      </w:pPr>
      <w:r w:rsidRPr="008B2C63">
        <w:rPr>
          <w:lang w:val="en-GB"/>
        </w:rPr>
        <w:t xml:space="preserve">Schedule of commitments, </w:t>
      </w:r>
      <w:r w:rsidR="00B23906" w:rsidRPr="008B2C63">
        <w:rPr>
          <w:i/>
          <w:iCs/>
          <w:lang w:val="en-GB"/>
        </w:rPr>
        <w:t>74, 76</w:t>
      </w:r>
    </w:p>
    <w:p w:rsidR="00282671" w:rsidRPr="008B2C63" w:rsidRDefault="00282671" w:rsidP="00282671">
      <w:pPr>
        <w:spacing w:before="40" w:after="40"/>
        <w:rPr>
          <w:lang w:val="en-GB"/>
        </w:rPr>
      </w:pPr>
      <w:r w:rsidRPr="008B2C63">
        <w:rPr>
          <w:lang w:val="en-GB"/>
        </w:rPr>
        <w:t xml:space="preserve">Schedule of contingencies, </w:t>
      </w:r>
      <w:r w:rsidRPr="008B2C63">
        <w:rPr>
          <w:i/>
          <w:iCs/>
          <w:lang w:val="en-GB"/>
        </w:rPr>
        <w:t>7</w:t>
      </w:r>
      <w:r w:rsidR="00B23906" w:rsidRPr="008B2C63">
        <w:rPr>
          <w:i/>
          <w:iCs/>
          <w:lang w:val="en-GB"/>
        </w:rPr>
        <w:t>6</w:t>
      </w:r>
    </w:p>
    <w:p w:rsidR="00282671" w:rsidRPr="008B2C63" w:rsidRDefault="00282671" w:rsidP="00282671">
      <w:pPr>
        <w:spacing w:before="40" w:after="40"/>
        <w:rPr>
          <w:lang w:val="en-GB"/>
        </w:rPr>
      </w:pPr>
      <w:r w:rsidRPr="008B2C63">
        <w:rPr>
          <w:lang w:val="en-GB"/>
        </w:rPr>
        <w:t xml:space="preserve">Sherbon, Tony, </w:t>
      </w:r>
      <w:r w:rsidR="00B23906" w:rsidRPr="008B2C63">
        <w:rPr>
          <w:i/>
          <w:iCs/>
          <w:lang w:val="en-GB"/>
        </w:rPr>
        <w:t>12</w:t>
      </w:r>
    </w:p>
    <w:p w:rsidR="00282671" w:rsidRPr="008B2C63" w:rsidRDefault="00282671" w:rsidP="00282671">
      <w:pPr>
        <w:spacing w:before="40" w:after="40"/>
        <w:rPr>
          <w:lang w:val="en-GB"/>
        </w:rPr>
      </w:pPr>
      <w:r w:rsidRPr="008B2C63">
        <w:rPr>
          <w:lang w:val="en-GB"/>
        </w:rPr>
        <w:t>Solomon, Shane, 1</w:t>
      </w:r>
      <w:r w:rsidR="00B23906" w:rsidRPr="008B2C63">
        <w:rPr>
          <w:i/>
          <w:iCs/>
          <w:lang w:val="en-GB"/>
        </w:rPr>
        <w:t>2, 20-22</w:t>
      </w:r>
    </w:p>
    <w:p w:rsidR="00282671" w:rsidRPr="008B2C63" w:rsidRDefault="00282671" w:rsidP="00282671">
      <w:pPr>
        <w:spacing w:before="40" w:after="40"/>
        <w:rPr>
          <w:lang w:val="en-GB"/>
        </w:rPr>
      </w:pPr>
      <w:r w:rsidRPr="008B2C63">
        <w:rPr>
          <w:lang w:val="en-GB"/>
        </w:rPr>
        <w:t xml:space="preserve">State of the Service Report, </w:t>
      </w:r>
      <w:r w:rsidR="00B23906" w:rsidRPr="008B2C63">
        <w:rPr>
          <w:i/>
          <w:iCs/>
          <w:lang w:val="en-GB"/>
        </w:rPr>
        <w:t>61</w:t>
      </w:r>
    </w:p>
    <w:p w:rsidR="00282671" w:rsidRPr="008B2C63" w:rsidRDefault="00282671" w:rsidP="00282671">
      <w:pPr>
        <w:spacing w:before="40" w:after="40"/>
        <w:rPr>
          <w:lang w:val="en-GB"/>
        </w:rPr>
      </w:pPr>
      <w:r w:rsidRPr="008B2C63">
        <w:rPr>
          <w:lang w:val="en-GB"/>
        </w:rPr>
        <w:t xml:space="preserve">Strategic plan, </w:t>
      </w:r>
      <w:r w:rsidR="00B23906" w:rsidRPr="008B2C63">
        <w:rPr>
          <w:i/>
          <w:iCs/>
          <w:lang w:val="en-GB"/>
        </w:rPr>
        <w:t>2</w:t>
      </w:r>
    </w:p>
    <w:p w:rsidR="00282671" w:rsidRPr="008B2C63" w:rsidRDefault="00282671" w:rsidP="00282671">
      <w:pPr>
        <w:spacing w:before="40" w:after="40"/>
        <w:rPr>
          <w:lang w:val="en-GB"/>
        </w:rPr>
      </w:pPr>
      <w:r w:rsidRPr="008B2C63">
        <w:rPr>
          <w:lang w:val="en-GB"/>
        </w:rPr>
        <w:t xml:space="preserve">Standing Council on Health, </w:t>
      </w:r>
      <w:r w:rsidR="00B23906" w:rsidRPr="008B2C63">
        <w:rPr>
          <w:i/>
          <w:iCs/>
          <w:lang w:val="en-GB"/>
        </w:rPr>
        <w:t>40</w:t>
      </w:r>
    </w:p>
    <w:p w:rsidR="00282671" w:rsidRPr="008B2C63" w:rsidRDefault="00282671" w:rsidP="00282671">
      <w:pPr>
        <w:spacing w:before="40" w:after="40"/>
        <w:rPr>
          <w:lang w:val="en-GB"/>
        </w:rPr>
      </w:pPr>
      <w:r w:rsidRPr="008B2C63">
        <w:rPr>
          <w:lang w:val="en-GB"/>
        </w:rPr>
        <w:t xml:space="preserve">Statement of changes in equity, </w:t>
      </w:r>
      <w:r w:rsidR="00B23906" w:rsidRPr="008B2C63">
        <w:rPr>
          <w:i/>
          <w:iCs/>
          <w:lang w:val="en-GB"/>
        </w:rPr>
        <w:t>71, 103, 105</w:t>
      </w:r>
    </w:p>
    <w:p w:rsidR="00282671" w:rsidRPr="008B2C63" w:rsidRDefault="00282671" w:rsidP="00282671">
      <w:pPr>
        <w:spacing w:before="40" w:after="40"/>
        <w:rPr>
          <w:lang w:val="en-GB"/>
        </w:rPr>
      </w:pPr>
      <w:r w:rsidRPr="008B2C63">
        <w:rPr>
          <w:lang w:val="en-GB"/>
        </w:rPr>
        <w:t xml:space="preserve">Statement of comprehensive income, </w:t>
      </w:r>
      <w:r w:rsidR="00B23906" w:rsidRPr="008B2C63">
        <w:rPr>
          <w:i/>
          <w:iCs/>
          <w:lang w:val="en-GB"/>
        </w:rPr>
        <w:t>60, 63, 69</w:t>
      </w:r>
    </w:p>
    <w:p w:rsidR="00282671" w:rsidRPr="008B2C63" w:rsidRDefault="00282671" w:rsidP="00282671">
      <w:pPr>
        <w:spacing w:before="40" w:after="40"/>
        <w:rPr>
          <w:lang w:val="en-GB"/>
        </w:rPr>
      </w:pPr>
      <w:r w:rsidRPr="008B2C63">
        <w:rPr>
          <w:lang w:val="en-GB"/>
        </w:rPr>
        <w:t xml:space="preserve">Subacute, </w:t>
      </w:r>
      <w:r w:rsidR="00B23906" w:rsidRPr="008B2C63">
        <w:rPr>
          <w:i/>
          <w:iCs/>
          <w:lang w:val="en-GB"/>
        </w:rPr>
        <w:t>42, 45, 48, 65</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T</w:t>
      </w:r>
    </w:p>
    <w:p w:rsidR="00282671" w:rsidRPr="008B2C63" w:rsidRDefault="00282671" w:rsidP="00282671">
      <w:pPr>
        <w:spacing w:before="40" w:after="40"/>
        <w:rPr>
          <w:lang w:val="en-GB"/>
        </w:rPr>
      </w:pPr>
      <w:r w:rsidRPr="008B2C63">
        <w:rPr>
          <w:lang w:val="en-GB"/>
        </w:rPr>
        <w:t xml:space="preserve">Three Year Data Plan, </w:t>
      </w:r>
      <w:r w:rsidR="00B23906" w:rsidRPr="008B2C63">
        <w:rPr>
          <w:i/>
          <w:iCs/>
          <w:lang w:val="en-GB"/>
        </w:rPr>
        <w:t>14, 40, 42, 43</w:t>
      </w:r>
    </w:p>
    <w:p w:rsidR="00282671" w:rsidRPr="008B2C63" w:rsidRDefault="00282671" w:rsidP="00282671">
      <w:pPr>
        <w:spacing w:before="40" w:after="40"/>
        <w:rPr>
          <w:lang w:val="en-GB"/>
        </w:rPr>
      </w:pPr>
      <w:r w:rsidRPr="008B2C63">
        <w:rPr>
          <w:lang w:val="en-GB"/>
        </w:rPr>
        <w:t xml:space="preserve">Tier 2 Non-admitted Services Compendium 2015–16, </w:t>
      </w:r>
      <w:r w:rsidR="00B23906" w:rsidRPr="008B2C63">
        <w:rPr>
          <w:i/>
          <w:iCs/>
          <w:lang w:val="en-GB"/>
        </w:rPr>
        <w:t>14, 44, 116</w:t>
      </w:r>
    </w:p>
    <w:p w:rsidR="00282671" w:rsidRPr="008B2C63" w:rsidRDefault="00282671" w:rsidP="00282671">
      <w:pPr>
        <w:spacing w:before="40" w:after="40"/>
        <w:rPr>
          <w:i/>
          <w:iCs/>
          <w:lang w:val="en-GB"/>
        </w:rPr>
      </w:pPr>
      <w:r w:rsidRPr="008B2C63">
        <w:rPr>
          <w:lang w:val="en-GB"/>
        </w:rPr>
        <w:t xml:space="preserve">Tier 2 Non-admitted Services Definition, </w:t>
      </w:r>
      <w:r w:rsidR="00B23906" w:rsidRPr="008B2C63">
        <w:rPr>
          <w:i/>
          <w:iCs/>
          <w:lang w:val="en-GB"/>
        </w:rPr>
        <w:t>14, 44, 116</w:t>
      </w:r>
    </w:p>
    <w:p w:rsidR="00282671" w:rsidRPr="008B2C63" w:rsidRDefault="00282671" w:rsidP="00282671">
      <w:pPr>
        <w:spacing w:before="40" w:after="40"/>
        <w:rPr>
          <w:lang w:val="en-GB"/>
        </w:rPr>
      </w:pPr>
      <w:r w:rsidRPr="008B2C63">
        <w:rPr>
          <w:lang w:val="en-GB"/>
        </w:rPr>
        <w:t xml:space="preserve">Training, </w:t>
      </w:r>
      <w:r w:rsidR="00B23906" w:rsidRPr="008B2C63">
        <w:rPr>
          <w:i/>
          <w:iCs/>
          <w:lang w:val="en-GB"/>
        </w:rPr>
        <w:t>40, 43, 48, 50</w:t>
      </w:r>
    </w:p>
    <w:p w:rsidR="00282671" w:rsidRPr="008B2C63" w:rsidRDefault="00282671" w:rsidP="00282671">
      <w:pPr>
        <w:spacing w:before="240" w:after="40"/>
        <w:rPr>
          <w:b/>
          <w:bCs/>
          <w:color w:val="008A00" w:themeColor="accent2"/>
          <w:lang w:val="en-GB"/>
        </w:rPr>
      </w:pPr>
      <w:r w:rsidRPr="008B2C63">
        <w:rPr>
          <w:b/>
          <w:bCs/>
          <w:color w:val="008A00" w:themeColor="accent2"/>
          <w:lang w:val="en-GB"/>
        </w:rPr>
        <w:t>W</w:t>
      </w:r>
    </w:p>
    <w:p w:rsidR="00282671" w:rsidRPr="008B2C63" w:rsidRDefault="00282671" w:rsidP="00282671">
      <w:pPr>
        <w:spacing w:before="40" w:after="40"/>
        <w:rPr>
          <w:lang w:val="en-GB"/>
        </w:rPr>
      </w:pPr>
      <w:r w:rsidRPr="008B2C63">
        <w:rPr>
          <w:lang w:val="en-GB"/>
        </w:rPr>
        <w:t xml:space="preserve">Walsh, Michael, </w:t>
      </w:r>
      <w:r w:rsidR="00B23906" w:rsidRPr="008B2C63">
        <w:rPr>
          <w:i/>
          <w:iCs/>
          <w:lang w:val="en-GB"/>
        </w:rPr>
        <w:t>20, 21, 24</w:t>
      </w:r>
    </w:p>
    <w:p w:rsidR="00282671" w:rsidRPr="008B2C63" w:rsidRDefault="00282671" w:rsidP="00282671">
      <w:pPr>
        <w:spacing w:before="40" w:after="40"/>
        <w:rPr>
          <w:lang w:val="en-GB"/>
        </w:rPr>
      </w:pPr>
      <w:r w:rsidRPr="008B2C63">
        <w:rPr>
          <w:i/>
          <w:iCs/>
          <w:lang w:val="en-GB"/>
        </w:rPr>
        <w:t>Work Health and Safety Act 2011</w:t>
      </w:r>
      <w:r w:rsidRPr="008B2C63">
        <w:rPr>
          <w:lang w:val="en-GB"/>
        </w:rPr>
        <w:t xml:space="preserve">, </w:t>
      </w:r>
      <w:r w:rsidR="00B23906" w:rsidRPr="008B2C63">
        <w:rPr>
          <w:i/>
          <w:iCs/>
          <w:lang w:val="en-GB"/>
        </w:rPr>
        <w:t>51, 60, 114, 120</w:t>
      </w:r>
    </w:p>
    <w:p w:rsidR="00282671" w:rsidRPr="008B2C63" w:rsidRDefault="00282671" w:rsidP="00282671">
      <w:pPr>
        <w:spacing w:before="40" w:after="40"/>
        <w:rPr>
          <w:lang w:val="en-GB"/>
        </w:rPr>
      </w:pPr>
      <w:r w:rsidRPr="008B2C63">
        <w:rPr>
          <w:lang w:val="en-GB"/>
        </w:rPr>
        <w:t xml:space="preserve">Work Program 2014–15, </w:t>
      </w:r>
      <w:r w:rsidR="00B23906" w:rsidRPr="008B2C63">
        <w:rPr>
          <w:i/>
          <w:iCs/>
          <w:lang w:val="en-GB"/>
        </w:rPr>
        <w:t>6, 12, 13, 18, 24, 30, 34, 35, 39, 45, 48, 56, 64, 65, 107</w:t>
      </w:r>
    </w:p>
    <w:p w:rsidR="00282671" w:rsidRPr="009A297E" w:rsidRDefault="00282671" w:rsidP="00282671">
      <w:pPr>
        <w:spacing w:before="40" w:after="40"/>
        <w:rPr>
          <w:lang w:val="en-GB"/>
        </w:rPr>
      </w:pPr>
      <w:r w:rsidRPr="008B2C63">
        <w:rPr>
          <w:lang w:val="en-GB"/>
        </w:rPr>
        <w:t xml:space="preserve">Workforce planning, </w:t>
      </w:r>
      <w:r w:rsidRPr="008B2C63">
        <w:rPr>
          <w:i/>
          <w:iCs/>
          <w:lang w:val="en-GB"/>
        </w:rPr>
        <w:t>57-5</w:t>
      </w:r>
      <w:r w:rsidR="00B23906" w:rsidRPr="008B2C63">
        <w:rPr>
          <w:i/>
          <w:iCs/>
          <w:lang w:val="en-GB"/>
        </w:rPr>
        <w:t>9, 120</w:t>
      </w:r>
    </w:p>
    <w:p w:rsidR="00282671" w:rsidRPr="009A297E" w:rsidRDefault="00282671" w:rsidP="00282671">
      <w:pPr>
        <w:spacing w:before="40" w:after="40"/>
      </w:pPr>
      <w:r w:rsidRPr="009A297E">
        <w:rPr>
          <w:lang w:val="en-GB"/>
        </w:rPr>
        <w:t xml:space="preserve">Workplace agreements, </w:t>
      </w:r>
      <w:r w:rsidR="00B23906">
        <w:rPr>
          <w:i/>
          <w:iCs/>
          <w:lang w:val="en-GB"/>
        </w:rPr>
        <w:t>60-61, 120</w:t>
      </w:r>
    </w:p>
    <w:p w:rsidR="00FE7E98" w:rsidRPr="009A297E" w:rsidRDefault="00FE7E98" w:rsidP="006814A3"/>
    <w:p w:rsidR="00494832" w:rsidRPr="009A297E" w:rsidRDefault="00494832" w:rsidP="00FE7E98">
      <w:pPr>
        <w:sectPr w:rsidR="00494832" w:rsidRPr="009A297E" w:rsidSect="00B0388B">
          <w:headerReference w:type="default" r:id="rId54"/>
          <w:pgSz w:w="11906" w:h="16838" w:code="9"/>
          <w:pgMar w:top="2041" w:right="3232" w:bottom="851" w:left="1021" w:header="567" w:footer="510" w:gutter="0"/>
          <w:cols w:space="708"/>
          <w:docGrid w:linePitch="360"/>
        </w:sectPr>
      </w:pPr>
    </w:p>
    <w:p w:rsidR="00494832" w:rsidRPr="00494832" w:rsidRDefault="00494832" w:rsidP="00131C0F">
      <w:pPr>
        <w:spacing w:after="0"/>
        <w:rPr>
          <w:b/>
        </w:rPr>
      </w:pPr>
      <w:r w:rsidRPr="009A297E">
        <w:rPr>
          <w:b/>
        </w:rPr>
        <w:t>Independent Hospital Pricing Authority</w:t>
      </w:r>
    </w:p>
    <w:p w:rsidR="00494832" w:rsidRDefault="00494832" w:rsidP="00131C0F">
      <w:pPr>
        <w:pStyle w:val="NoSpacing"/>
      </w:pPr>
      <w:r>
        <w:t>Level 6, 1 Oxford Street</w:t>
      </w:r>
    </w:p>
    <w:p w:rsidR="00494832" w:rsidRDefault="00494832" w:rsidP="00131C0F">
      <w:pPr>
        <w:spacing w:after="0"/>
      </w:pPr>
      <w:r>
        <w:t>Sydney NSW 2000</w:t>
      </w:r>
    </w:p>
    <w:p w:rsidR="00494832" w:rsidRDefault="00BD36C4" w:rsidP="00131C0F">
      <w:pPr>
        <w:pStyle w:val="NoSpacing"/>
      </w:pPr>
      <w:r>
        <w:t xml:space="preserve">Phone: </w:t>
      </w:r>
      <w:r w:rsidR="00494832">
        <w:t>02 8215 1100</w:t>
      </w:r>
    </w:p>
    <w:p w:rsidR="00494832" w:rsidRDefault="00494832" w:rsidP="00131C0F">
      <w:pPr>
        <w:pStyle w:val="NoSpacing"/>
      </w:pPr>
      <w:r>
        <w:t>Email: enquiries.ihpa@ihpa.gov.au</w:t>
      </w:r>
    </w:p>
    <w:p w:rsidR="00494832" w:rsidRDefault="00494832" w:rsidP="00131C0F">
      <w:pPr>
        <w:pStyle w:val="NoSpacing"/>
      </w:pPr>
      <w:r>
        <w:t>Twitter: @IHPAnews</w:t>
      </w:r>
    </w:p>
    <w:p w:rsidR="005D01BE" w:rsidRDefault="00825F9D" w:rsidP="00131C0F">
      <w:pPr>
        <w:spacing w:after="0"/>
        <w:rPr>
          <w:rStyle w:val="Hyperlink"/>
        </w:rPr>
      </w:pPr>
      <w:hyperlink r:id="rId55" w:history="1">
        <w:r w:rsidR="00494832" w:rsidRPr="003F2CB2">
          <w:rPr>
            <w:rStyle w:val="Hyperlink"/>
          </w:rPr>
          <w:t>www.ihpa.gov.au</w:t>
        </w:r>
      </w:hyperlink>
    </w:p>
    <w:p w:rsidR="00494832" w:rsidRPr="00B01784" w:rsidRDefault="00494832" w:rsidP="00131C0F">
      <w:pPr>
        <w:spacing w:before="480" w:after="0"/>
      </w:pPr>
      <w:r>
        <w:rPr>
          <w:noProof/>
        </w:rPr>
        <w:drawing>
          <wp:inline distT="0" distB="0" distL="0" distR="0" wp14:anchorId="056B8A16" wp14:editId="099D2FDC">
            <wp:extent cx="755906" cy="1143002"/>
            <wp:effectExtent l="0" t="0" r="6350" b="0"/>
            <wp:docPr id="8" name="Picture 8" descr="The logo for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PA_logo_black.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906" cy="1143002"/>
                    </a:xfrm>
                    <a:prstGeom prst="rect">
                      <a:avLst/>
                    </a:prstGeom>
                  </pic:spPr>
                </pic:pic>
              </a:graphicData>
            </a:graphic>
          </wp:inline>
        </w:drawing>
      </w:r>
    </w:p>
    <w:sectPr w:rsidR="00494832" w:rsidRPr="00B01784" w:rsidSect="0031180A">
      <w:headerReference w:type="default" r:id="rId57"/>
      <w:footerReference w:type="default" r:id="rId58"/>
      <w:pgSz w:w="11906" w:h="16838" w:code="9"/>
      <w:pgMar w:top="11624" w:right="3232" w:bottom="567" w:left="1021"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6E4" w:rsidRDefault="008946E4">
      <w:r>
        <w:separator/>
      </w:r>
    </w:p>
  </w:endnote>
  <w:endnote w:type="continuationSeparator" w:id="0">
    <w:p w:rsidR="008946E4" w:rsidRDefault="0089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Default="00894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B35B4D" w:rsidRDefault="008946E4" w:rsidP="00B35B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B35B4D" w:rsidRDefault="008946E4" w:rsidP="00B35B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6E4" w:rsidRDefault="008946E4">
      <w:r>
        <w:separator/>
      </w:r>
    </w:p>
  </w:footnote>
  <w:footnote w:type="continuationSeparator" w:id="0">
    <w:p w:rsidR="008946E4" w:rsidRDefault="008946E4">
      <w:r>
        <w:continuationSeparator/>
      </w:r>
    </w:p>
  </w:footnote>
  <w:footnote w:id="1">
    <w:p w:rsidR="008946E4" w:rsidRPr="00733251" w:rsidRDefault="008946E4" w:rsidP="00733251">
      <w:pPr>
        <w:pStyle w:val="FootnoteText"/>
        <w:rPr>
          <w:i/>
        </w:rPr>
      </w:pPr>
      <w:r>
        <w:rPr>
          <w:vertAlign w:val="superscript"/>
        </w:rPr>
        <w:footnoteRef/>
      </w:r>
      <w:r>
        <w:t xml:space="preserve"> Developed by the Department of Finance for the introduction of the </w:t>
      </w:r>
      <w:r w:rsidRPr="00733251">
        <w:rPr>
          <w:i/>
        </w:rPr>
        <w:t>Public Governance Performance and Accountability Act 2013.</w:t>
      </w:r>
    </w:p>
  </w:footnote>
  <w:footnote w:id="2">
    <w:p w:rsidR="008946E4" w:rsidRDefault="008946E4" w:rsidP="00733251">
      <w:pPr>
        <w:pStyle w:val="FootnoteText"/>
      </w:pPr>
      <w:r>
        <w:rPr>
          <w:vertAlign w:val="superscript"/>
        </w:rPr>
        <w:footnoteRef/>
      </w:r>
      <w:r>
        <w:t xml:space="preserve"> AS/NZS ISO 31000:2009 Risk management—Principles and Guidelines </w:t>
      </w:r>
      <w:r>
        <w:br/>
        <w:t>(Standards Australia 2009).</w:t>
      </w:r>
    </w:p>
  </w:footnote>
  <w:footnote w:id="3">
    <w:p w:rsidR="008946E4" w:rsidRDefault="008946E4" w:rsidP="00733251">
      <w:pPr>
        <w:pStyle w:val="FootnoteText"/>
      </w:pPr>
      <w:r>
        <w:rPr>
          <w:vertAlign w:val="superscript"/>
        </w:rPr>
        <w:footnoteRef/>
      </w:r>
      <w:r>
        <w:t xml:space="preserve"> Section 10, Public Governance Performance and Accountability Rule 2014 </w:t>
      </w:r>
    </w:p>
  </w:footnote>
  <w:footnote w:id="4">
    <w:p w:rsidR="008946E4" w:rsidRDefault="008946E4" w:rsidP="00733251">
      <w:pPr>
        <w:pStyle w:val="FootnoteText"/>
      </w:pPr>
      <w:r>
        <w:rPr>
          <w:vertAlign w:val="superscript"/>
        </w:rPr>
        <w:footnoteRef/>
      </w:r>
      <w:r>
        <w:t xml:space="preserve"> AusTender provides centralised publication of Australian Government business opportunities, annual procurement plans, multi-use lists and contracts awarded.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A00884" w:rsidRDefault="008946E4">
    <w:pPr>
      <w:pStyle w:val="Header"/>
    </w:pPr>
    <w:r w:rsidRPr="00A00884">
      <w:fldChar w:fldCharType="begin"/>
    </w:r>
    <w:r w:rsidRPr="00A00884">
      <w:instrText xml:space="preserve"> PAGE   \* MERGEFORMAT </w:instrText>
    </w:r>
    <w:r w:rsidRPr="00A00884">
      <w:fldChar w:fldCharType="separate"/>
    </w:r>
    <w:r w:rsidR="00825F9D">
      <w:rPr>
        <w:noProof/>
      </w:rPr>
      <w:t>ii</w:t>
    </w:r>
    <w:r w:rsidRPr="00A00884">
      <w:rPr>
        <w:noProof/>
      </w:rPr>
      <w:fldChar w:fldCharType="end"/>
    </w:r>
    <w:r>
      <w:rPr>
        <w:noProof/>
      </w:rPr>
      <w:t xml:space="preserve">    </w:t>
    </w:r>
    <w:r>
      <w:t>IHPA Annual Report 2014-15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Default="008946E4">
    <w:pPr>
      <w:pStyle w:val="Header"/>
    </w:pPr>
    <w:r w:rsidRPr="000B218A">
      <w:rPr>
        <w:color w:val="FFFFFF" w:themeColor="background1"/>
      </w:rPr>
      <w:fldChar w:fldCharType="begin"/>
    </w:r>
    <w:r w:rsidRPr="000B218A">
      <w:rPr>
        <w:color w:val="FFFFFF" w:themeColor="background1"/>
      </w:rPr>
      <w:instrText xml:space="preserve"> PAGE   \* MERGEFORMAT </w:instrText>
    </w:r>
    <w:r w:rsidRPr="000B218A">
      <w:rPr>
        <w:color w:val="FFFFFF" w:themeColor="background1"/>
      </w:rPr>
      <w:fldChar w:fldCharType="separate"/>
    </w:r>
    <w:r w:rsidR="00825F9D">
      <w:rPr>
        <w:noProof/>
        <w:color w:val="FFFFFF" w:themeColor="background1"/>
      </w:rPr>
      <w:t>64</w:t>
    </w:r>
    <w:r w:rsidRPr="000B218A">
      <w:rPr>
        <w:noProof/>
        <w:color w:val="FFFFFF" w:themeColor="background1"/>
      </w:rPr>
      <w:fldChar w:fldCharType="end"/>
    </w:r>
    <w:r w:rsidRPr="001B385A">
      <w:rPr>
        <w:noProof/>
        <w:color w:val="FFFFFF" w:themeColor="background1"/>
      </w:rPr>
      <w:drawing>
        <wp:anchor distT="0" distB="0" distL="114300" distR="114300" simplePos="0" relativeHeight="251660288" behindDoc="1" locked="0" layoutInCell="0" allowOverlap="1" wp14:anchorId="2C1CCD71" wp14:editId="68022E68">
          <wp:simplePos x="0" y="0"/>
          <wp:positionH relativeFrom="page">
            <wp:align>left</wp:align>
          </wp:positionH>
          <wp:positionV relativeFrom="page">
            <wp:align>top</wp:align>
          </wp:positionV>
          <wp:extent cx="5788800" cy="91800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and.jpg"/>
                  <pic:cNvPicPr/>
                </pic:nvPicPr>
                <pic:blipFill>
                  <a:blip r:embed="rId1" cstate="print">
                    <a:extLst>
                      <a:ext uri="{28A0092B-C50C-407E-A947-70E740481C1C}">
                        <a14:useLocalDpi xmlns:a14="http://schemas.microsoft.com/office/drawing/2010/main"/>
                      </a:ext>
                    </a:extLst>
                  </a:blip>
                  <a:stretch>
                    <a:fillRect/>
                  </a:stretch>
                </pic:blipFill>
                <pic:spPr>
                  <a:xfrm>
                    <a:off x="0" y="0"/>
                    <a:ext cx="5788800" cy="9180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 xml:space="preserve">    </w:t>
    </w:r>
    <w:r>
      <w:rPr>
        <w:color w:val="FFFFFF" w:themeColor="background1"/>
      </w:rPr>
      <w:t>IHPA Annual Report 2014-15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010D84" w:rsidRDefault="008946E4">
    <w:pPr>
      <w:pStyle w:val="Header"/>
    </w:pPr>
    <w:r w:rsidRPr="00010D84">
      <w:fldChar w:fldCharType="begin"/>
    </w:r>
    <w:r w:rsidRPr="00010D84">
      <w:instrText xml:space="preserve"> PAGE   \* MERGEFORMAT </w:instrText>
    </w:r>
    <w:r w:rsidRPr="00010D84">
      <w:fldChar w:fldCharType="separate"/>
    </w:r>
    <w:r w:rsidR="00825F9D">
      <w:rPr>
        <w:noProof/>
      </w:rPr>
      <w:t>91</w:t>
    </w:r>
    <w:r w:rsidRPr="00010D84">
      <w:rPr>
        <w:noProof/>
      </w:rPr>
      <w:fldChar w:fldCharType="end"/>
    </w:r>
    <w:r>
      <w:rPr>
        <w:noProof/>
      </w:rPr>
      <w:t xml:space="preserve">    </w:t>
    </w:r>
    <w:r>
      <w:t>IHPA Annual Report 2014-15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F56BC1" w:rsidRDefault="008946E4" w:rsidP="00F56B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010D84" w:rsidRDefault="008946E4">
    <w:pPr>
      <w:pStyle w:val="Header"/>
    </w:pPr>
    <w:r w:rsidRPr="00010D84">
      <w:fldChar w:fldCharType="begin"/>
    </w:r>
    <w:r w:rsidRPr="00010D84">
      <w:instrText xml:space="preserve"> PAGE   \* MERGEFORMAT </w:instrText>
    </w:r>
    <w:r w:rsidRPr="00010D84">
      <w:fldChar w:fldCharType="separate"/>
    </w:r>
    <w:r w:rsidR="00C92FE8">
      <w:rPr>
        <w:noProof/>
      </w:rPr>
      <w:t>102</w:t>
    </w:r>
    <w:r w:rsidRPr="00010D84">
      <w:rPr>
        <w:noProof/>
      </w:rPr>
      <w:fldChar w:fldCharType="end"/>
    </w:r>
    <w:r>
      <w:rPr>
        <w:noProof/>
      </w:rPr>
      <w:t xml:space="preserve">    </w:t>
    </w:r>
    <w:r>
      <w:t>IHPA Annual Report 2014-15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B767AF" w:rsidRDefault="008946E4" w:rsidP="00B767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Default="008946E4">
    <w:pPr>
      <w:pStyle w:val="Header"/>
    </w:pPr>
    <w:r w:rsidRPr="000B218A">
      <w:rPr>
        <w:color w:val="FFFFFF" w:themeColor="background1"/>
      </w:rPr>
      <w:fldChar w:fldCharType="begin"/>
    </w:r>
    <w:r w:rsidRPr="000B218A">
      <w:rPr>
        <w:color w:val="FFFFFF" w:themeColor="background1"/>
      </w:rPr>
      <w:instrText xml:space="preserve"> PAGE   \* MERGEFORMAT </w:instrText>
    </w:r>
    <w:r w:rsidRPr="000B218A">
      <w:rPr>
        <w:color w:val="FFFFFF" w:themeColor="background1"/>
      </w:rPr>
      <w:fldChar w:fldCharType="separate"/>
    </w:r>
    <w:r w:rsidR="00C92FE8">
      <w:rPr>
        <w:noProof/>
        <w:color w:val="FFFFFF" w:themeColor="background1"/>
      </w:rPr>
      <w:t>126</w:t>
    </w:r>
    <w:r w:rsidRPr="000B218A">
      <w:rPr>
        <w:noProof/>
        <w:color w:val="FFFFFF" w:themeColor="background1"/>
      </w:rPr>
      <w:fldChar w:fldCharType="end"/>
    </w:r>
    <w:r w:rsidRPr="001B385A">
      <w:rPr>
        <w:noProof/>
        <w:color w:val="FFFFFF" w:themeColor="background1"/>
      </w:rPr>
      <w:drawing>
        <wp:anchor distT="0" distB="0" distL="114300" distR="114300" simplePos="0" relativeHeight="251662336" behindDoc="1" locked="0" layoutInCell="0" allowOverlap="1" wp14:anchorId="7788C9F2" wp14:editId="55B85062">
          <wp:simplePos x="0" y="0"/>
          <wp:positionH relativeFrom="page">
            <wp:align>left</wp:align>
          </wp:positionH>
          <wp:positionV relativeFrom="page">
            <wp:align>top</wp:align>
          </wp:positionV>
          <wp:extent cx="5788800" cy="91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and.jpg"/>
                  <pic:cNvPicPr/>
                </pic:nvPicPr>
                <pic:blipFill>
                  <a:blip r:embed="rId1" cstate="print">
                    <a:extLst>
                      <a:ext uri="{28A0092B-C50C-407E-A947-70E740481C1C}">
                        <a14:useLocalDpi xmlns:a14="http://schemas.microsoft.com/office/drawing/2010/main"/>
                      </a:ext>
                    </a:extLst>
                  </a:blip>
                  <a:stretch>
                    <a:fillRect/>
                  </a:stretch>
                </pic:blipFill>
                <pic:spPr>
                  <a:xfrm>
                    <a:off x="0" y="0"/>
                    <a:ext cx="5788800" cy="9180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 xml:space="preserve">    </w:t>
    </w:r>
    <w:r>
      <w:rPr>
        <w:color w:val="FFFFFF" w:themeColor="background1"/>
      </w:rPr>
      <w:t>IHPA Annual Report 2014-15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E4" w:rsidRPr="00494832" w:rsidRDefault="008946E4" w:rsidP="004948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DD4B590"/>
    <w:lvl w:ilvl="0">
      <w:start w:val="1"/>
      <w:numFmt w:val="decimal"/>
      <w:lvlText w:val="%1."/>
      <w:lvlJc w:val="left"/>
      <w:pPr>
        <w:tabs>
          <w:tab w:val="num" w:pos="1492"/>
        </w:tabs>
        <w:ind w:left="1492" w:hanging="360"/>
      </w:pPr>
    </w:lvl>
  </w:abstractNum>
  <w:abstractNum w:abstractNumId="1">
    <w:nsid w:val="FFFFFF7D"/>
    <w:multiLevelType w:val="singleLevel"/>
    <w:tmpl w:val="03F4F22E"/>
    <w:lvl w:ilvl="0">
      <w:start w:val="1"/>
      <w:numFmt w:val="decimal"/>
      <w:lvlText w:val="%1."/>
      <w:lvlJc w:val="left"/>
      <w:pPr>
        <w:tabs>
          <w:tab w:val="num" w:pos="1209"/>
        </w:tabs>
        <w:ind w:left="1209" w:hanging="360"/>
      </w:pPr>
    </w:lvl>
  </w:abstractNum>
  <w:abstractNum w:abstractNumId="2">
    <w:nsid w:val="FFFFFF7E"/>
    <w:multiLevelType w:val="singleLevel"/>
    <w:tmpl w:val="D9BA5316"/>
    <w:lvl w:ilvl="0">
      <w:start w:val="1"/>
      <w:numFmt w:val="decimal"/>
      <w:lvlText w:val="%1."/>
      <w:lvlJc w:val="left"/>
      <w:pPr>
        <w:tabs>
          <w:tab w:val="num" w:pos="926"/>
        </w:tabs>
        <w:ind w:left="926" w:hanging="360"/>
      </w:pPr>
    </w:lvl>
  </w:abstractNum>
  <w:abstractNum w:abstractNumId="3">
    <w:nsid w:val="FFFFFF7F"/>
    <w:multiLevelType w:val="singleLevel"/>
    <w:tmpl w:val="C80611B6"/>
    <w:lvl w:ilvl="0">
      <w:start w:val="1"/>
      <w:numFmt w:val="decimal"/>
      <w:lvlText w:val="%1."/>
      <w:lvlJc w:val="left"/>
      <w:pPr>
        <w:tabs>
          <w:tab w:val="num" w:pos="643"/>
        </w:tabs>
        <w:ind w:left="643" w:hanging="360"/>
      </w:pPr>
    </w:lvl>
  </w:abstractNum>
  <w:abstractNum w:abstractNumId="4">
    <w:nsid w:val="FFFFFF80"/>
    <w:multiLevelType w:val="singleLevel"/>
    <w:tmpl w:val="98A43F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461A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361D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D80E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D8D06C"/>
    <w:lvl w:ilvl="0">
      <w:start w:val="1"/>
      <w:numFmt w:val="decimal"/>
      <w:lvlText w:val="%1."/>
      <w:lvlJc w:val="left"/>
      <w:pPr>
        <w:tabs>
          <w:tab w:val="num" w:pos="360"/>
        </w:tabs>
        <w:ind w:left="360" w:hanging="360"/>
      </w:pPr>
    </w:lvl>
  </w:abstractNum>
  <w:abstractNum w:abstractNumId="9">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A74C9"/>
    <w:multiLevelType w:val="hybridMultilevel"/>
    <w:tmpl w:val="3780A714"/>
    <w:lvl w:ilvl="0" w:tplc="C20CCDB2">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2DA0663"/>
    <w:multiLevelType w:val="hybridMultilevel"/>
    <w:tmpl w:val="87A2ED04"/>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364469C"/>
    <w:multiLevelType w:val="hybridMultilevel"/>
    <w:tmpl w:val="1130E13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958232E"/>
    <w:multiLevelType w:val="hybridMultilevel"/>
    <w:tmpl w:val="9EDE4BA0"/>
    <w:lvl w:ilvl="0" w:tplc="638C47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B097A62"/>
    <w:multiLevelType w:val="hybridMultilevel"/>
    <w:tmpl w:val="BDB457D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4B175D6"/>
    <w:multiLevelType w:val="hybridMultilevel"/>
    <w:tmpl w:val="D13A20E4"/>
    <w:lvl w:ilvl="0" w:tplc="059479AA">
      <w:start w:val="9"/>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D30501"/>
    <w:multiLevelType w:val="hybridMultilevel"/>
    <w:tmpl w:val="902E97A0"/>
    <w:lvl w:ilvl="0" w:tplc="19CACBE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3339D2"/>
    <w:multiLevelType w:val="hybridMultilevel"/>
    <w:tmpl w:val="C61E180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nsid w:val="195A48C1"/>
    <w:multiLevelType w:val="hybridMultilevel"/>
    <w:tmpl w:val="2E3E716E"/>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D1D1959"/>
    <w:multiLevelType w:val="hybridMultilevel"/>
    <w:tmpl w:val="6706AA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1E5D1129"/>
    <w:multiLevelType w:val="hybridMultilevel"/>
    <w:tmpl w:val="B8C4BBF2"/>
    <w:lvl w:ilvl="0" w:tplc="BFFA5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EFE2B34"/>
    <w:multiLevelType w:val="hybridMultilevel"/>
    <w:tmpl w:val="4D8690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243E19DD"/>
    <w:multiLevelType w:val="hybridMultilevel"/>
    <w:tmpl w:val="C76C291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2FD5EB1"/>
    <w:multiLevelType w:val="hybridMultilevel"/>
    <w:tmpl w:val="0ECAC6E4"/>
    <w:lvl w:ilvl="0" w:tplc="BE02E5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5717191"/>
    <w:multiLevelType w:val="hybridMultilevel"/>
    <w:tmpl w:val="36F8329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E9F1B41"/>
    <w:multiLevelType w:val="hybridMultilevel"/>
    <w:tmpl w:val="6C600048"/>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06D57C9"/>
    <w:multiLevelType w:val="hybridMultilevel"/>
    <w:tmpl w:val="09DED9A0"/>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16909CE"/>
    <w:multiLevelType w:val="hybridMultilevel"/>
    <w:tmpl w:val="7206DBF0"/>
    <w:lvl w:ilvl="0" w:tplc="BFFA5F34">
      <w:start w:val="1"/>
      <w:numFmt w:val="decimal"/>
      <w:lvlText w:val="(%1)"/>
      <w:lvlJc w:val="left"/>
      <w:pPr>
        <w:ind w:left="720" w:hanging="720"/>
      </w:pPr>
      <w:rPr>
        <w:rFonts w:hint="default"/>
      </w:rPr>
    </w:lvl>
    <w:lvl w:ilvl="1" w:tplc="38AA1B38">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DB60560"/>
    <w:multiLevelType w:val="hybridMultilevel"/>
    <w:tmpl w:val="C37627F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ED21B56"/>
    <w:multiLevelType w:val="hybridMultilevel"/>
    <w:tmpl w:val="64B869AE"/>
    <w:lvl w:ilvl="0" w:tplc="94EED41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31B728A"/>
    <w:multiLevelType w:val="hybridMultilevel"/>
    <w:tmpl w:val="F1200CF4"/>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6CA50AA"/>
    <w:multiLevelType w:val="hybridMultilevel"/>
    <w:tmpl w:val="9A96E33A"/>
    <w:lvl w:ilvl="0" w:tplc="F640BED4">
      <w:start w:val="1"/>
      <w:numFmt w:val="lowerRoman"/>
      <w:lvlText w:val="(%1)"/>
      <w:lvlJc w:val="left"/>
      <w:pPr>
        <w:ind w:left="2160" w:hanging="18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84F25E8"/>
    <w:multiLevelType w:val="hybridMultilevel"/>
    <w:tmpl w:val="D1BA4B18"/>
    <w:lvl w:ilvl="0" w:tplc="4FAAB77C">
      <w:start w:val="1"/>
      <w:numFmt w:val="lowerRoman"/>
      <w:lvlText w:val="%1."/>
      <w:lvlJc w:val="left"/>
      <w:pPr>
        <w:ind w:left="720" w:hanging="360"/>
      </w:pPr>
      <w:rPr>
        <w:rFonts w:hint="default"/>
        <w:color w:val="auto"/>
      </w:rPr>
    </w:lvl>
    <w:lvl w:ilvl="1" w:tplc="34ECB1E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8917C07"/>
    <w:multiLevelType w:val="hybridMultilevel"/>
    <w:tmpl w:val="7BF259A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AFF2D80"/>
    <w:multiLevelType w:val="hybridMultilevel"/>
    <w:tmpl w:val="9780927A"/>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3182C34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EDA0FCD"/>
    <w:multiLevelType w:val="hybridMultilevel"/>
    <w:tmpl w:val="A83ECB1C"/>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0B41AE8"/>
    <w:multiLevelType w:val="hybridMultilevel"/>
    <w:tmpl w:val="F0A6A4F6"/>
    <w:lvl w:ilvl="0" w:tplc="B66247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5FE0BA3"/>
    <w:multiLevelType w:val="hybridMultilevel"/>
    <w:tmpl w:val="78CEEAD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F640BED4">
      <w:start w:val="1"/>
      <w:numFmt w:val="lowerRoman"/>
      <w:lvlText w:val="(%3)"/>
      <w:lvlJc w:val="left"/>
      <w:pPr>
        <w:ind w:left="2160" w:hanging="180"/>
      </w:pPr>
      <w:rPr>
        <w:rFonts w:hint="default"/>
        <w:color w:val="auto"/>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87D50E0"/>
    <w:multiLevelType w:val="hybridMultilevel"/>
    <w:tmpl w:val="7472D1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2AD2793"/>
    <w:multiLevelType w:val="hybridMultilevel"/>
    <w:tmpl w:val="FE9C57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55D5124"/>
    <w:multiLevelType w:val="hybridMultilevel"/>
    <w:tmpl w:val="C822652E"/>
    <w:lvl w:ilvl="0" w:tplc="3182C346">
      <w:start w:val="1"/>
      <w:numFmt w:val="lowerRoman"/>
      <w:lvlText w:val="(%1)"/>
      <w:lvlJc w:val="righ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nsid w:val="761602C6"/>
    <w:multiLevelType w:val="hybridMultilevel"/>
    <w:tmpl w:val="1440341E"/>
    <w:lvl w:ilvl="0" w:tplc="89C8238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982531A"/>
    <w:multiLevelType w:val="hybridMultilevel"/>
    <w:tmpl w:val="00A042EE"/>
    <w:lvl w:ilvl="0" w:tplc="DEA62E7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AA136D4"/>
    <w:multiLevelType w:val="hybridMultilevel"/>
    <w:tmpl w:val="3A2C3BEA"/>
    <w:lvl w:ilvl="0" w:tplc="2F703B0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C6612E"/>
    <w:multiLevelType w:val="hybridMultilevel"/>
    <w:tmpl w:val="BF080D6E"/>
    <w:lvl w:ilvl="0" w:tplc="4FAAB77C">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C17591"/>
    <w:multiLevelType w:val="hybridMultilevel"/>
    <w:tmpl w:val="4928D088"/>
    <w:lvl w:ilvl="0" w:tplc="45BA40C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23"/>
  </w:num>
  <w:num w:numId="3">
    <w:abstractNumId w:val="42"/>
  </w:num>
  <w:num w:numId="4">
    <w:abstractNumId w:val="21"/>
  </w:num>
  <w:num w:numId="5">
    <w:abstractNumId w:val="38"/>
  </w:num>
  <w:num w:numId="6">
    <w:abstractNumId w:val="17"/>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20"/>
  </w:num>
  <w:num w:numId="19">
    <w:abstractNumId w:val="27"/>
  </w:num>
  <w:num w:numId="20">
    <w:abstractNumId w:val="33"/>
  </w:num>
  <w:num w:numId="21">
    <w:abstractNumId w:val="36"/>
  </w:num>
  <w:num w:numId="22">
    <w:abstractNumId w:val="44"/>
  </w:num>
  <w:num w:numId="23">
    <w:abstractNumId w:val="15"/>
  </w:num>
  <w:num w:numId="24">
    <w:abstractNumId w:val="40"/>
  </w:num>
  <w:num w:numId="25">
    <w:abstractNumId w:val="11"/>
  </w:num>
  <w:num w:numId="26">
    <w:abstractNumId w:val="34"/>
  </w:num>
  <w:num w:numId="27">
    <w:abstractNumId w:val="35"/>
  </w:num>
  <w:num w:numId="28">
    <w:abstractNumId w:val="37"/>
  </w:num>
  <w:num w:numId="29">
    <w:abstractNumId w:val="31"/>
  </w:num>
  <w:num w:numId="30">
    <w:abstractNumId w:val="28"/>
  </w:num>
  <w:num w:numId="31">
    <w:abstractNumId w:val="9"/>
  </w:num>
  <w:num w:numId="32">
    <w:abstractNumId w:val="9"/>
  </w:num>
  <w:num w:numId="33">
    <w:abstractNumId w:val="26"/>
  </w:num>
  <w:num w:numId="34">
    <w:abstractNumId w:val="18"/>
  </w:num>
  <w:num w:numId="35">
    <w:abstractNumId w:val="30"/>
  </w:num>
  <w:num w:numId="36">
    <w:abstractNumId w:val="32"/>
  </w:num>
  <w:num w:numId="37">
    <w:abstractNumId w:val="13"/>
  </w:num>
  <w:num w:numId="38">
    <w:abstractNumId w:val="45"/>
  </w:num>
  <w:num w:numId="39">
    <w:abstractNumId w:val="25"/>
  </w:num>
  <w:num w:numId="40">
    <w:abstractNumId w:val="16"/>
  </w:num>
  <w:num w:numId="41">
    <w:abstractNumId w:val="12"/>
  </w:num>
  <w:num w:numId="42">
    <w:abstractNumId w:val="22"/>
  </w:num>
  <w:num w:numId="43">
    <w:abstractNumId w:val="46"/>
  </w:num>
  <w:num w:numId="44">
    <w:abstractNumId w:val="19"/>
  </w:num>
  <w:num w:numId="45">
    <w:abstractNumId w:val="43"/>
  </w:num>
  <w:num w:numId="46">
    <w:abstractNumId w:val="39"/>
  </w:num>
  <w:num w:numId="47">
    <w:abstractNumId w:val="29"/>
  </w:num>
  <w:num w:numId="48">
    <w:abstractNumId w:val="24"/>
  </w:num>
  <w:num w:numId="49">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defaultTableStyle w:val="DefaultTable"/>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9BC"/>
    <w:rsid w:val="00005785"/>
    <w:rsid w:val="00006876"/>
    <w:rsid w:val="00007D1F"/>
    <w:rsid w:val="00010D84"/>
    <w:rsid w:val="00010F15"/>
    <w:rsid w:val="00011CE3"/>
    <w:rsid w:val="00022E9C"/>
    <w:rsid w:val="00024EF0"/>
    <w:rsid w:val="00025631"/>
    <w:rsid w:val="00027B26"/>
    <w:rsid w:val="00030705"/>
    <w:rsid w:val="00032861"/>
    <w:rsid w:val="00032B77"/>
    <w:rsid w:val="00042285"/>
    <w:rsid w:val="00043256"/>
    <w:rsid w:val="00045A89"/>
    <w:rsid w:val="00046F8E"/>
    <w:rsid w:val="00047524"/>
    <w:rsid w:val="0005040E"/>
    <w:rsid w:val="0005087D"/>
    <w:rsid w:val="000547EF"/>
    <w:rsid w:val="00056004"/>
    <w:rsid w:val="0006075A"/>
    <w:rsid w:val="00061C84"/>
    <w:rsid w:val="00062484"/>
    <w:rsid w:val="00063129"/>
    <w:rsid w:val="00064EE9"/>
    <w:rsid w:val="00065022"/>
    <w:rsid w:val="00065A5E"/>
    <w:rsid w:val="00070681"/>
    <w:rsid w:val="00080A09"/>
    <w:rsid w:val="00081CEB"/>
    <w:rsid w:val="00083082"/>
    <w:rsid w:val="00087B2C"/>
    <w:rsid w:val="00087DBD"/>
    <w:rsid w:val="00090718"/>
    <w:rsid w:val="00091B4E"/>
    <w:rsid w:val="00091CD7"/>
    <w:rsid w:val="00093DD5"/>
    <w:rsid w:val="000A03DD"/>
    <w:rsid w:val="000A1A09"/>
    <w:rsid w:val="000A47A8"/>
    <w:rsid w:val="000A73FB"/>
    <w:rsid w:val="000B218A"/>
    <w:rsid w:val="000C014D"/>
    <w:rsid w:val="000C29B4"/>
    <w:rsid w:val="000C5CD8"/>
    <w:rsid w:val="000C7A69"/>
    <w:rsid w:val="000D1158"/>
    <w:rsid w:val="000D4703"/>
    <w:rsid w:val="000E12D4"/>
    <w:rsid w:val="000E39EF"/>
    <w:rsid w:val="000E620E"/>
    <w:rsid w:val="000F2063"/>
    <w:rsid w:val="000F3D28"/>
    <w:rsid w:val="000F63C4"/>
    <w:rsid w:val="00100200"/>
    <w:rsid w:val="0010263D"/>
    <w:rsid w:val="00102824"/>
    <w:rsid w:val="0010300A"/>
    <w:rsid w:val="001131F0"/>
    <w:rsid w:val="00114EBC"/>
    <w:rsid w:val="0012427E"/>
    <w:rsid w:val="001247E0"/>
    <w:rsid w:val="00126750"/>
    <w:rsid w:val="001271A1"/>
    <w:rsid w:val="00131C0F"/>
    <w:rsid w:val="00132F0D"/>
    <w:rsid w:val="00133713"/>
    <w:rsid w:val="00135B7E"/>
    <w:rsid w:val="00140FC9"/>
    <w:rsid w:val="001413C5"/>
    <w:rsid w:val="0014231B"/>
    <w:rsid w:val="00142956"/>
    <w:rsid w:val="00142D10"/>
    <w:rsid w:val="00144868"/>
    <w:rsid w:val="001452BC"/>
    <w:rsid w:val="00150D2A"/>
    <w:rsid w:val="00150E25"/>
    <w:rsid w:val="00150EA9"/>
    <w:rsid w:val="00151650"/>
    <w:rsid w:val="00155B98"/>
    <w:rsid w:val="00157001"/>
    <w:rsid w:val="00157709"/>
    <w:rsid w:val="00160E91"/>
    <w:rsid w:val="00165626"/>
    <w:rsid w:val="00167CF4"/>
    <w:rsid w:val="0017147C"/>
    <w:rsid w:val="0017194E"/>
    <w:rsid w:val="0017249B"/>
    <w:rsid w:val="00177EC4"/>
    <w:rsid w:val="00181533"/>
    <w:rsid w:val="001824C8"/>
    <w:rsid w:val="00182698"/>
    <w:rsid w:val="001864FD"/>
    <w:rsid w:val="001943DD"/>
    <w:rsid w:val="00196BAC"/>
    <w:rsid w:val="001A13F6"/>
    <w:rsid w:val="001A2D78"/>
    <w:rsid w:val="001A7249"/>
    <w:rsid w:val="001B385A"/>
    <w:rsid w:val="001B3904"/>
    <w:rsid w:val="001B3AEC"/>
    <w:rsid w:val="001B3E8D"/>
    <w:rsid w:val="001B5259"/>
    <w:rsid w:val="001B60D4"/>
    <w:rsid w:val="001B6F28"/>
    <w:rsid w:val="001C4F4F"/>
    <w:rsid w:val="001C6BA1"/>
    <w:rsid w:val="001D141C"/>
    <w:rsid w:val="001D2904"/>
    <w:rsid w:val="001D652D"/>
    <w:rsid w:val="001D693F"/>
    <w:rsid w:val="001E38FB"/>
    <w:rsid w:val="001E52C2"/>
    <w:rsid w:val="001F0BE1"/>
    <w:rsid w:val="001F101A"/>
    <w:rsid w:val="001F24EF"/>
    <w:rsid w:val="001F56C7"/>
    <w:rsid w:val="00203039"/>
    <w:rsid w:val="00204B17"/>
    <w:rsid w:val="002069D2"/>
    <w:rsid w:val="00211DA2"/>
    <w:rsid w:val="00213693"/>
    <w:rsid w:val="00215CCB"/>
    <w:rsid w:val="00216CF5"/>
    <w:rsid w:val="0022037B"/>
    <w:rsid w:val="00222C8D"/>
    <w:rsid w:val="002256A8"/>
    <w:rsid w:val="00230E6B"/>
    <w:rsid w:val="00232B97"/>
    <w:rsid w:val="0023523A"/>
    <w:rsid w:val="0023757C"/>
    <w:rsid w:val="00237C47"/>
    <w:rsid w:val="002402E4"/>
    <w:rsid w:val="00242B98"/>
    <w:rsid w:val="00246FE6"/>
    <w:rsid w:val="002470E3"/>
    <w:rsid w:val="0025207D"/>
    <w:rsid w:val="00254DE9"/>
    <w:rsid w:val="002615D3"/>
    <w:rsid w:val="002672F1"/>
    <w:rsid w:val="00271414"/>
    <w:rsid w:val="00271922"/>
    <w:rsid w:val="00273412"/>
    <w:rsid w:val="0027373F"/>
    <w:rsid w:val="00274ACF"/>
    <w:rsid w:val="0027543F"/>
    <w:rsid w:val="0028159B"/>
    <w:rsid w:val="00282671"/>
    <w:rsid w:val="002843E2"/>
    <w:rsid w:val="00287BAA"/>
    <w:rsid w:val="00293489"/>
    <w:rsid w:val="00296F5E"/>
    <w:rsid w:val="002A30F0"/>
    <w:rsid w:val="002A6DF5"/>
    <w:rsid w:val="002B6406"/>
    <w:rsid w:val="002B6809"/>
    <w:rsid w:val="002C4231"/>
    <w:rsid w:val="002C7080"/>
    <w:rsid w:val="002D00B0"/>
    <w:rsid w:val="002D2364"/>
    <w:rsid w:val="002D2E16"/>
    <w:rsid w:val="002E45F0"/>
    <w:rsid w:val="002E7778"/>
    <w:rsid w:val="00304B3E"/>
    <w:rsid w:val="00304D97"/>
    <w:rsid w:val="0031180A"/>
    <w:rsid w:val="00313127"/>
    <w:rsid w:val="00313304"/>
    <w:rsid w:val="003155F4"/>
    <w:rsid w:val="00321D1E"/>
    <w:rsid w:val="0032530E"/>
    <w:rsid w:val="00325A61"/>
    <w:rsid w:val="00326976"/>
    <w:rsid w:val="003311D7"/>
    <w:rsid w:val="00332B8B"/>
    <w:rsid w:val="0033521E"/>
    <w:rsid w:val="00337CA2"/>
    <w:rsid w:val="00347104"/>
    <w:rsid w:val="0035096E"/>
    <w:rsid w:val="00355D01"/>
    <w:rsid w:val="00360B81"/>
    <w:rsid w:val="00366283"/>
    <w:rsid w:val="0036777E"/>
    <w:rsid w:val="003701FA"/>
    <w:rsid w:val="00372A26"/>
    <w:rsid w:val="0037484C"/>
    <w:rsid w:val="003749CD"/>
    <w:rsid w:val="00374A6C"/>
    <w:rsid w:val="00382718"/>
    <w:rsid w:val="00382B3B"/>
    <w:rsid w:val="00385ED2"/>
    <w:rsid w:val="00391F86"/>
    <w:rsid w:val="00393F00"/>
    <w:rsid w:val="003945C0"/>
    <w:rsid w:val="003A25A7"/>
    <w:rsid w:val="003B535C"/>
    <w:rsid w:val="003C2120"/>
    <w:rsid w:val="003D030E"/>
    <w:rsid w:val="003D040D"/>
    <w:rsid w:val="003D1F49"/>
    <w:rsid w:val="003D2061"/>
    <w:rsid w:val="003E1FE3"/>
    <w:rsid w:val="003E32A7"/>
    <w:rsid w:val="003F1A33"/>
    <w:rsid w:val="003F3072"/>
    <w:rsid w:val="00406289"/>
    <w:rsid w:val="00406578"/>
    <w:rsid w:val="004074EF"/>
    <w:rsid w:val="004102C3"/>
    <w:rsid w:val="0041307C"/>
    <w:rsid w:val="004167B4"/>
    <w:rsid w:val="004167BC"/>
    <w:rsid w:val="0042032D"/>
    <w:rsid w:val="004225DC"/>
    <w:rsid w:val="00423A41"/>
    <w:rsid w:val="00425FBA"/>
    <w:rsid w:val="00430D7E"/>
    <w:rsid w:val="00432332"/>
    <w:rsid w:val="00433B04"/>
    <w:rsid w:val="0043784D"/>
    <w:rsid w:val="0044547D"/>
    <w:rsid w:val="00446F93"/>
    <w:rsid w:val="00451A74"/>
    <w:rsid w:val="004552AB"/>
    <w:rsid w:val="0045622C"/>
    <w:rsid w:val="00467185"/>
    <w:rsid w:val="00467736"/>
    <w:rsid w:val="0047050C"/>
    <w:rsid w:val="004750DB"/>
    <w:rsid w:val="00480F21"/>
    <w:rsid w:val="0048108E"/>
    <w:rsid w:val="0048537F"/>
    <w:rsid w:val="004874E5"/>
    <w:rsid w:val="00487885"/>
    <w:rsid w:val="00490A65"/>
    <w:rsid w:val="0049116C"/>
    <w:rsid w:val="004930C9"/>
    <w:rsid w:val="00493F62"/>
    <w:rsid w:val="00494832"/>
    <w:rsid w:val="004957C2"/>
    <w:rsid w:val="00495AF1"/>
    <w:rsid w:val="00497A89"/>
    <w:rsid w:val="004A4CED"/>
    <w:rsid w:val="004A6BE6"/>
    <w:rsid w:val="004B0828"/>
    <w:rsid w:val="004B3304"/>
    <w:rsid w:val="004B3DF1"/>
    <w:rsid w:val="004B4BC0"/>
    <w:rsid w:val="004B5555"/>
    <w:rsid w:val="004C777E"/>
    <w:rsid w:val="004D16A4"/>
    <w:rsid w:val="004E6682"/>
    <w:rsid w:val="004E6D8A"/>
    <w:rsid w:val="004F15EF"/>
    <w:rsid w:val="004F22FE"/>
    <w:rsid w:val="004F774D"/>
    <w:rsid w:val="005013B0"/>
    <w:rsid w:val="005015E4"/>
    <w:rsid w:val="005017A6"/>
    <w:rsid w:val="0050291D"/>
    <w:rsid w:val="005064CD"/>
    <w:rsid w:val="00506C00"/>
    <w:rsid w:val="00511016"/>
    <w:rsid w:val="005159B3"/>
    <w:rsid w:val="00522C03"/>
    <w:rsid w:val="00525EA4"/>
    <w:rsid w:val="0052791F"/>
    <w:rsid w:val="00532CFF"/>
    <w:rsid w:val="00536880"/>
    <w:rsid w:val="00540AD0"/>
    <w:rsid w:val="00543A76"/>
    <w:rsid w:val="005523D1"/>
    <w:rsid w:val="0055532E"/>
    <w:rsid w:val="00555BC3"/>
    <w:rsid w:val="00557C8E"/>
    <w:rsid w:val="00561B2B"/>
    <w:rsid w:val="0056357E"/>
    <w:rsid w:val="00564952"/>
    <w:rsid w:val="00571AB1"/>
    <w:rsid w:val="00577E1C"/>
    <w:rsid w:val="00580DB1"/>
    <w:rsid w:val="005814AC"/>
    <w:rsid w:val="00584676"/>
    <w:rsid w:val="005854B7"/>
    <w:rsid w:val="00587AB1"/>
    <w:rsid w:val="0059070B"/>
    <w:rsid w:val="005A0D95"/>
    <w:rsid w:val="005A224B"/>
    <w:rsid w:val="005B1225"/>
    <w:rsid w:val="005B17D8"/>
    <w:rsid w:val="005B1D82"/>
    <w:rsid w:val="005B4077"/>
    <w:rsid w:val="005C28B0"/>
    <w:rsid w:val="005C2F01"/>
    <w:rsid w:val="005C5F3C"/>
    <w:rsid w:val="005D01BE"/>
    <w:rsid w:val="005D1177"/>
    <w:rsid w:val="005D1D13"/>
    <w:rsid w:val="005D5460"/>
    <w:rsid w:val="005E08CD"/>
    <w:rsid w:val="005E37E8"/>
    <w:rsid w:val="005E74C5"/>
    <w:rsid w:val="005F2437"/>
    <w:rsid w:val="005F318A"/>
    <w:rsid w:val="005F7710"/>
    <w:rsid w:val="00603261"/>
    <w:rsid w:val="00607597"/>
    <w:rsid w:val="00610F93"/>
    <w:rsid w:val="006127CC"/>
    <w:rsid w:val="006243C6"/>
    <w:rsid w:val="006273BC"/>
    <w:rsid w:val="00632009"/>
    <w:rsid w:val="00633CF1"/>
    <w:rsid w:val="00635A6C"/>
    <w:rsid w:val="00637091"/>
    <w:rsid w:val="00642839"/>
    <w:rsid w:val="006457F8"/>
    <w:rsid w:val="00645CCB"/>
    <w:rsid w:val="0064700E"/>
    <w:rsid w:val="006478CB"/>
    <w:rsid w:val="00650B88"/>
    <w:rsid w:val="00652C58"/>
    <w:rsid w:val="006530EF"/>
    <w:rsid w:val="006554DD"/>
    <w:rsid w:val="00660951"/>
    <w:rsid w:val="006636E2"/>
    <w:rsid w:val="00666273"/>
    <w:rsid w:val="00667FA9"/>
    <w:rsid w:val="0067233D"/>
    <w:rsid w:val="00672B2E"/>
    <w:rsid w:val="006745AE"/>
    <w:rsid w:val="00675469"/>
    <w:rsid w:val="00676870"/>
    <w:rsid w:val="00676AF3"/>
    <w:rsid w:val="00677895"/>
    <w:rsid w:val="00677BEF"/>
    <w:rsid w:val="006814A3"/>
    <w:rsid w:val="00682AFC"/>
    <w:rsid w:val="00683344"/>
    <w:rsid w:val="00684FC9"/>
    <w:rsid w:val="0069072B"/>
    <w:rsid w:val="0069174B"/>
    <w:rsid w:val="00693340"/>
    <w:rsid w:val="006A04C7"/>
    <w:rsid w:val="006B05E3"/>
    <w:rsid w:val="006B09BC"/>
    <w:rsid w:val="006B6D5D"/>
    <w:rsid w:val="006B7B5A"/>
    <w:rsid w:val="006C0801"/>
    <w:rsid w:val="006C0C2C"/>
    <w:rsid w:val="006C1EAA"/>
    <w:rsid w:val="006C216F"/>
    <w:rsid w:val="006C45D4"/>
    <w:rsid w:val="006D2042"/>
    <w:rsid w:val="006D66E3"/>
    <w:rsid w:val="006D7855"/>
    <w:rsid w:val="006E010C"/>
    <w:rsid w:val="006E1003"/>
    <w:rsid w:val="006E16BF"/>
    <w:rsid w:val="006E18F0"/>
    <w:rsid w:val="006E4F93"/>
    <w:rsid w:val="00700135"/>
    <w:rsid w:val="00705180"/>
    <w:rsid w:val="00711605"/>
    <w:rsid w:val="00711DF6"/>
    <w:rsid w:val="00716FBC"/>
    <w:rsid w:val="00717090"/>
    <w:rsid w:val="00720739"/>
    <w:rsid w:val="0072253E"/>
    <w:rsid w:val="0072443D"/>
    <w:rsid w:val="007248B7"/>
    <w:rsid w:val="007254CA"/>
    <w:rsid w:val="00731A90"/>
    <w:rsid w:val="00732608"/>
    <w:rsid w:val="00733251"/>
    <w:rsid w:val="00736DCA"/>
    <w:rsid w:val="00745C47"/>
    <w:rsid w:val="0075003D"/>
    <w:rsid w:val="00751D97"/>
    <w:rsid w:val="00752C55"/>
    <w:rsid w:val="007562D4"/>
    <w:rsid w:val="00761DBF"/>
    <w:rsid w:val="00761FCF"/>
    <w:rsid w:val="00765503"/>
    <w:rsid w:val="00767B7E"/>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A1013"/>
    <w:rsid w:val="007A4CA9"/>
    <w:rsid w:val="007A7D19"/>
    <w:rsid w:val="007A7EC2"/>
    <w:rsid w:val="007B042D"/>
    <w:rsid w:val="007B05BB"/>
    <w:rsid w:val="007B6E0A"/>
    <w:rsid w:val="007B764C"/>
    <w:rsid w:val="007C118A"/>
    <w:rsid w:val="007C636F"/>
    <w:rsid w:val="007D39EB"/>
    <w:rsid w:val="007E74E1"/>
    <w:rsid w:val="007E77A8"/>
    <w:rsid w:val="007F491C"/>
    <w:rsid w:val="00803BF8"/>
    <w:rsid w:val="008061C9"/>
    <w:rsid w:val="008066D8"/>
    <w:rsid w:val="00811A18"/>
    <w:rsid w:val="00813711"/>
    <w:rsid w:val="00821E64"/>
    <w:rsid w:val="00825F9D"/>
    <w:rsid w:val="008263C2"/>
    <w:rsid w:val="008307DB"/>
    <w:rsid w:val="00833398"/>
    <w:rsid w:val="00835D9D"/>
    <w:rsid w:val="00835FC9"/>
    <w:rsid w:val="008368F8"/>
    <w:rsid w:val="008370E3"/>
    <w:rsid w:val="008418FA"/>
    <w:rsid w:val="00842959"/>
    <w:rsid w:val="00843390"/>
    <w:rsid w:val="0085235A"/>
    <w:rsid w:val="00854138"/>
    <w:rsid w:val="00854410"/>
    <w:rsid w:val="008544DF"/>
    <w:rsid w:val="00860AAD"/>
    <w:rsid w:val="00861AA6"/>
    <w:rsid w:val="008708F3"/>
    <w:rsid w:val="00871354"/>
    <w:rsid w:val="00873611"/>
    <w:rsid w:val="00873C8F"/>
    <w:rsid w:val="00874FB3"/>
    <w:rsid w:val="00880BE3"/>
    <w:rsid w:val="00881359"/>
    <w:rsid w:val="00882093"/>
    <w:rsid w:val="00882588"/>
    <w:rsid w:val="00884ADE"/>
    <w:rsid w:val="008856CF"/>
    <w:rsid w:val="00885864"/>
    <w:rsid w:val="00890A1D"/>
    <w:rsid w:val="0089383B"/>
    <w:rsid w:val="008946E4"/>
    <w:rsid w:val="0089534B"/>
    <w:rsid w:val="0089616F"/>
    <w:rsid w:val="008979B6"/>
    <w:rsid w:val="008A0232"/>
    <w:rsid w:val="008B0470"/>
    <w:rsid w:val="008B06C5"/>
    <w:rsid w:val="008B164E"/>
    <w:rsid w:val="008B2C63"/>
    <w:rsid w:val="008B502A"/>
    <w:rsid w:val="008B57D8"/>
    <w:rsid w:val="008B7A65"/>
    <w:rsid w:val="008C1219"/>
    <w:rsid w:val="008C123E"/>
    <w:rsid w:val="008C137D"/>
    <w:rsid w:val="008C22DD"/>
    <w:rsid w:val="008C3ED0"/>
    <w:rsid w:val="008C5E94"/>
    <w:rsid w:val="008D196A"/>
    <w:rsid w:val="008E3EF2"/>
    <w:rsid w:val="008E51C9"/>
    <w:rsid w:val="008E5BEB"/>
    <w:rsid w:val="008E6306"/>
    <w:rsid w:val="008F68F7"/>
    <w:rsid w:val="009005A6"/>
    <w:rsid w:val="009006CF"/>
    <w:rsid w:val="00900C71"/>
    <w:rsid w:val="00902A1C"/>
    <w:rsid w:val="009037B6"/>
    <w:rsid w:val="00906CBE"/>
    <w:rsid w:val="00910024"/>
    <w:rsid w:val="00910384"/>
    <w:rsid w:val="00916E33"/>
    <w:rsid w:val="0092093B"/>
    <w:rsid w:val="00930669"/>
    <w:rsid w:val="00932C33"/>
    <w:rsid w:val="009427A1"/>
    <w:rsid w:val="00942FFE"/>
    <w:rsid w:val="00952718"/>
    <w:rsid w:val="0095307C"/>
    <w:rsid w:val="009551E0"/>
    <w:rsid w:val="0095654E"/>
    <w:rsid w:val="00956F3C"/>
    <w:rsid w:val="00971C34"/>
    <w:rsid w:val="00972488"/>
    <w:rsid w:val="009726D0"/>
    <w:rsid w:val="0097421D"/>
    <w:rsid w:val="00976A23"/>
    <w:rsid w:val="009800BC"/>
    <w:rsid w:val="009816F6"/>
    <w:rsid w:val="009900F0"/>
    <w:rsid w:val="00990B9B"/>
    <w:rsid w:val="00991769"/>
    <w:rsid w:val="00993236"/>
    <w:rsid w:val="00993D8C"/>
    <w:rsid w:val="009A297E"/>
    <w:rsid w:val="009A6127"/>
    <w:rsid w:val="009B0CC1"/>
    <w:rsid w:val="009B713C"/>
    <w:rsid w:val="009C0F18"/>
    <w:rsid w:val="009C12C6"/>
    <w:rsid w:val="009C7778"/>
    <w:rsid w:val="009D06AE"/>
    <w:rsid w:val="009D09E2"/>
    <w:rsid w:val="009D1E42"/>
    <w:rsid w:val="009D7148"/>
    <w:rsid w:val="009E02FD"/>
    <w:rsid w:val="009E4C74"/>
    <w:rsid w:val="009E62B6"/>
    <w:rsid w:val="009F35DA"/>
    <w:rsid w:val="009F43D0"/>
    <w:rsid w:val="00A00568"/>
    <w:rsid w:val="00A00884"/>
    <w:rsid w:val="00A02F62"/>
    <w:rsid w:val="00A02FA3"/>
    <w:rsid w:val="00A030C3"/>
    <w:rsid w:val="00A04803"/>
    <w:rsid w:val="00A10147"/>
    <w:rsid w:val="00A11331"/>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61C7"/>
    <w:rsid w:val="00A36723"/>
    <w:rsid w:val="00A46DF5"/>
    <w:rsid w:val="00A5149A"/>
    <w:rsid w:val="00A53650"/>
    <w:rsid w:val="00A53E51"/>
    <w:rsid w:val="00A57183"/>
    <w:rsid w:val="00A60693"/>
    <w:rsid w:val="00A6196D"/>
    <w:rsid w:val="00A619C0"/>
    <w:rsid w:val="00A61ADF"/>
    <w:rsid w:val="00A624CB"/>
    <w:rsid w:val="00A62AC0"/>
    <w:rsid w:val="00A76BD2"/>
    <w:rsid w:val="00A8267D"/>
    <w:rsid w:val="00A82E14"/>
    <w:rsid w:val="00A8722B"/>
    <w:rsid w:val="00A901E9"/>
    <w:rsid w:val="00A917B6"/>
    <w:rsid w:val="00A91B3B"/>
    <w:rsid w:val="00A93B4F"/>
    <w:rsid w:val="00A94F7A"/>
    <w:rsid w:val="00A95D3B"/>
    <w:rsid w:val="00A97341"/>
    <w:rsid w:val="00AA0081"/>
    <w:rsid w:val="00AA4E4D"/>
    <w:rsid w:val="00AB09ED"/>
    <w:rsid w:val="00AB3DC0"/>
    <w:rsid w:val="00AB4CBB"/>
    <w:rsid w:val="00AC125E"/>
    <w:rsid w:val="00AC45DF"/>
    <w:rsid w:val="00AC474D"/>
    <w:rsid w:val="00AC4DFD"/>
    <w:rsid w:val="00AC5663"/>
    <w:rsid w:val="00AC58FD"/>
    <w:rsid w:val="00AD0F6D"/>
    <w:rsid w:val="00AD1166"/>
    <w:rsid w:val="00AD19D2"/>
    <w:rsid w:val="00AD1A96"/>
    <w:rsid w:val="00AD3042"/>
    <w:rsid w:val="00AD793A"/>
    <w:rsid w:val="00AE0120"/>
    <w:rsid w:val="00AE3038"/>
    <w:rsid w:val="00AE3D4A"/>
    <w:rsid w:val="00AE5956"/>
    <w:rsid w:val="00AE619F"/>
    <w:rsid w:val="00AE7A88"/>
    <w:rsid w:val="00AF2A56"/>
    <w:rsid w:val="00AF63AB"/>
    <w:rsid w:val="00B01784"/>
    <w:rsid w:val="00B0388B"/>
    <w:rsid w:val="00B03BEE"/>
    <w:rsid w:val="00B0517E"/>
    <w:rsid w:val="00B11314"/>
    <w:rsid w:val="00B113E3"/>
    <w:rsid w:val="00B1156A"/>
    <w:rsid w:val="00B138E3"/>
    <w:rsid w:val="00B13FB5"/>
    <w:rsid w:val="00B178FA"/>
    <w:rsid w:val="00B17D8E"/>
    <w:rsid w:val="00B207C3"/>
    <w:rsid w:val="00B23267"/>
    <w:rsid w:val="00B23906"/>
    <w:rsid w:val="00B257BF"/>
    <w:rsid w:val="00B27149"/>
    <w:rsid w:val="00B35B4D"/>
    <w:rsid w:val="00B36652"/>
    <w:rsid w:val="00B425AB"/>
    <w:rsid w:val="00B47090"/>
    <w:rsid w:val="00B532D1"/>
    <w:rsid w:val="00B67A79"/>
    <w:rsid w:val="00B72D62"/>
    <w:rsid w:val="00B767AF"/>
    <w:rsid w:val="00B80798"/>
    <w:rsid w:val="00B82C3C"/>
    <w:rsid w:val="00B831CD"/>
    <w:rsid w:val="00B85329"/>
    <w:rsid w:val="00B91B9D"/>
    <w:rsid w:val="00BA5E20"/>
    <w:rsid w:val="00BA607C"/>
    <w:rsid w:val="00BB3E2A"/>
    <w:rsid w:val="00BB7121"/>
    <w:rsid w:val="00BC0479"/>
    <w:rsid w:val="00BC1651"/>
    <w:rsid w:val="00BC16F5"/>
    <w:rsid w:val="00BC287D"/>
    <w:rsid w:val="00BC2A38"/>
    <w:rsid w:val="00BC46EB"/>
    <w:rsid w:val="00BC643B"/>
    <w:rsid w:val="00BD32E5"/>
    <w:rsid w:val="00BD36C4"/>
    <w:rsid w:val="00BE1095"/>
    <w:rsid w:val="00BE150A"/>
    <w:rsid w:val="00BE6767"/>
    <w:rsid w:val="00BE78EC"/>
    <w:rsid w:val="00BF46EE"/>
    <w:rsid w:val="00C0613C"/>
    <w:rsid w:val="00C10D05"/>
    <w:rsid w:val="00C14FBA"/>
    <w:rsid w:val="00C15EA1"/>
    <w:rsid w:val="00C17A8E"/>
    <w:rsid w:val="00C24F70"/>
    <w:rsid w:val="00C33479"/>
    <w:rsid w:val="00C40ED2"/>
    <w:rsid w:val="00C41F10"/>
    <w:rsid w:val="00C432DD"/>
    <w:rsid w:val="00C4423A"/>
    <w:rsid w:val="00C501FE"/>
    <w:rsid w:val="00C5784B"/>
    <w:rsid w:val="00C639FF"/>
    <w:rsid w:val="00C64D15"/>
    <w:rsid w:val="00C66088"/>
    <w:rsid w:val="00C67C4C"/>
    <w:rsid w:val="00C74B5D"/>
    <w:rsid w:val="00C74F74"/>
    <w:rsid w:val="00C7554B"/>
    <w:rsid w:val="00C80951"/>
    <w:rsid w:val="00C8205E"/>
    <w:rsid w:val="00C82EB5"/>
    <w:rsid w:val="00C8692D"/>
    <w:rsid w:val="00C87966"/>
    <w:rsid w:val="00C902DE"/>
    <w:rsid w:val="00C916AE"/>
    <w:rsid w:val="00C92FE8"/>
    <w:rsid w:val="00C93AAA"/>
    <w:rsid w:val="00C95FCD"/>
    <w:rsid w:val="00C97188"/>
    <w:rsid w:val="00CA0639"/>
    <w:rsid w:val="00CA11D0"/>
    <w:rsid w:val="00CA2E02"/>
    <w:rsid w:val="00CA583A"/>
    <w:rsid w:val="00CA5EC6"/>
    <w:rsid w:val="00CB5744"/>
    <w:rsid w:val="00CB7022"/>
    <w:rsid w:val="00CB7BC5"/>
    <w:rsid w:val="00CC586D"/>
    <w:rsid w:val="00CC7DBC"/>
    <w:rsid w:val="00CD1BA3"/>
    <w:rsid w:val="00CD1D23"/>
    <w:rsid w:val="00CD3612"/>
    <w:rsid w:val="00CD3E69"/>
    <w:rsid w:val="00CD6B7D"/>
    <w:rsid w:val="00CE0847"/>
    <w:rsid w:val="00CE0B6C"/>
    <w:rsid w:val="00CE11D0"/>
    <w:rsid w:val="00CE4708"/>
    <w:rsid w:val="00CE4C50"/>
    <w:rsid w:val="00CE6858"/>
    <w:rsid w:val="00CE7450"/>
    <w:rsid w:val="00CF50BE"/>
    <w:rsid w:val="00CF7625"/>
    <w:rsid w:val="00D1289C"/>
    <w:rsid w:val="00D1666F"/>
    <w:rsid w:val="00D2071A"/>
    <w:rsid w:val="00D30F73"/>
    <w:rsid w:val="00D30F97"/>
    <w:rsid w:val="00D313A0"/>
    <w:rsid w:val="00D36FE0"/>
    <w:rsid w:val="00D40799"/>
    <w:rsid w:val="00D41A06"/>
    <w:rsid w:val="00D42ABF"/>
    <w:rsid w:val="00D42F40"/>
    <w:rsid w:val="00D45B67"/>
    <w:rsid w:val="00D5034A"/>
    <w:rsid w:val="00D51F49"/>
    <w:rsid w:val="00D55EE8"/>
    <w:rsid w:val="00D562CB"/>
    <w:rsid w:val="00D569D1"/>
    <w:rsid w:val="00D56AD8"/>
    <w:rsid w:val="00D56C05"/>
    <w:rsid w:val="00D5785A"/>
    <w:rsid w:val="00D6375F"/>
    <w:rsid w:val="00D64C48"/>
    <w:rsid w:val="00D6680B"/>
    <w:rsid w:val="00D72F4F"/>
    <w:rsid w:val="00D731C4"/>
    <w:rsid w:val="00D74EB4"/>
    <w:rsid w:val="00D801FC"/>
    <w:rsid w:val="00D85BE0"/>
    <w:rsid w:val="00D8691A"/>
    <w:rsid w:val="00D87FD7"/>
    <w:rsid w:val="00D91466"/>
    <w:rsid w:val="00D915ED"/>
    <w:rsid w:val="00D92300"/>
    <w:rsid w:val="00D94AFC"/>
    <w:rsid w:val="00D950E6"/>
    <w:rsid w:val="00D97047"/>
    <w:rsid w:val="00DA3619"/>
    <w:rsid w:val="00DB0B88"/>
    <w:rsid w:val="00DB1652"/>
    <w:rsid w:val="00DB58A6"/>
    <w:rsid w:val="00DB6B99"/>
    <w:rsid w:val="00DC001A"/>
    <w:rsid w:val="00DD4F44"/>
    <w:rsid w:val="00DD686C"/>
    <w:rsid w:val="00DE2AC3"/>
    <w:rsid w:val="00DE2E40"/>
    <w:rsid w:val="00DE3598"/>
    <w:rsid w:val="00DE3FBD"/>
    <w:rsid w:val="00DE43F5"/>
    <w:rsid w:val="00DE65FB"/>
    <w:rsid w:val="00DF420A"/>
    <w:rsid w:val="00E02472"/>
    <w:rsid w:val="00E041F0"/>
    <w:rsid w:val="00E128D8"/>
    <w:rsid w:val="00E130C3"/>
    <w:rsid w:val="00E17EDF"/>
    <w:rsid w:val="00E2082D"/>
    <w:rsid w:val="00E221E2"/>
    <w:rsid w:val="00E24303"/>
    <w:rsid w:val="00E27A16"/>
    <w:rsid w:val="00E40F7B"/>
    <w:rsid w:val="00E46D60"/>
    <w:rsid w:val="00E47C33"/>
    <w:rsid w:val="00E47F58"/>
    <w:rsid w:val="00E54BFC"/>
    <w:rsid w:val="00E56D9D"/>
    <w:rsid w:val="00E60E2E"/>
    <w:rsid w:val="00E71A2D"/>
    <w:rsid w:val="00E823C1"/>
    <w:rsid w:val="00E82DB7"/>
    <w:rsid w:val="00E8579C"/>
    <w:rsid w:val="00E865FE"/>
    <w:rsid w:val="00E91408"/>
    <w:rsid w:val="00E91759"/>
    <w:rsid w:val="00E9654B"/>
    <w:rsid w:val="00EA18DB"/>
    <w:rsid w:val="00EA2FBA"/>
    <w:rsid w:val="00EA4DC5"/>
    <w:rsid w:val="00EA66DF"/>
    <w:rsid w:val="00EA6ADC"/>
    <w:rsid w:val="00EB14DF"/>
    <w:rsid w:val="00EB1A4D"/>
    <w:rsid w:val="00EB3A07"/>
    <w:rsid w:val="00EB5539"/>
    <w:rsid w:val="00EC3F31"/>
    <w:rsid w:val="00EC52E7"/>
    <w:rsid w:val="00ED3698"/>
    <w:rsid w:val="00ED4794"/>
    <w:rsid w:val="00EE265C"/>
    <w:rsid w:val="00EE5C63"/>
    <w:rsid w:val="00F0095C"/>
    <w:rsid w:val="00F01129"/>
    <w:rsid w:val="00F01CCA"/>
    <w:rsid w:val="00F01F2C"/>
    <w:rsid w:val="00F02104"/>
    <w:rsid w:val="00F06C17"/>
    <w:rsid w:val="00F1632B"/>
    <w:rsid w:val="00F334CB"/>
    <w:rsid w:val="00F3495A"/>
    <w:rsid w:val="00F34E2C"/>
    <w:rsid w:val="00F370BC"/>
    <w:rsid w:val="00F37143"/>
    <w:rsid w:val="00F50562"/>
    <w:rsid w:val="00F50A92"/>
    <w:rsid w:val="00F50D01"/>
    <w:rsid w:val="00F56BC1"/>
    <w:rsid w:val="00F618C4"/>
    <w:rsid w:val="00F65774"/>
    <w:rsid w:val="00F65A34"/>
    <w:rsid w:val="00F65F4C"/>
    <w:rsid w:val="00F71A60"/>
    <w:rsid w:val="00F725DA"/>
    <w:rsid w:val="00F7536E"/>
    <w:rsid w:val="00F75652"/>
    <w:rsid w:val="00F8168B"/>
    <w:rsid w:val="00F81CF2"/>
    <w:rsid w:val="00F81F93"/>
    <w:rsid w:val="00F857D1"/>
    <w:rsid w:val="00F91DCC"/>
    <w:rsid w:val="00F9323F"/>
    <w:rsid w:val="00F943FE"/>
    <w:rsid w:val="00F95814"/>
    <w:rsid w:val="00F95CE9"/>
    <w:rsid w:val="00F97100"/>
    <w:rsid w:val="00FA01D9"/>
    <w:rsid w:val="00FC1DFB"/>
    <w:rsid w:val="00FC1EF2"/>
    <w:rsid w:val="00FC3343"/>
    <w:rsid w:val="00FC33BA"/>
    <w:rsid w:val="00FC35AB"/>
    <w:rsid w:val="00FC6134"/>
    <w:rsid w:val="00FC654D"/>
    <w:rsid w:val="00FD0555"/>
    <w:rsid w:val="00FD5961"/>
    <w:rsid w:val="00FE3EFA"/>
    <w:rsid w:val="00FE5C56"/>
    <w:rsid w:val="00FE5E20"/>
    <w:rsid w:val="00FE7AAC"/>
    <w:rsid w:val="00FE7B06"/>
    <w:rsid w:val="00FE7E98"/>
    <w:rsid w:val="00FF06BC"/>
    <w:rsid w:val="00FF20AC"/>
    <w:rsid w:val="00FF3801"/>
    <w:rsid w:val="00FF3A27"/>
    <w:rsid w:val="00FF3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2" w:unhideWhenUsed="0" w:qFormat="1"/>
    <w:lsdException w:name="heading 3" w:semiHidden="0" w:unhideWhenUsed="0" w:qFormat="1"/>
    <w:lsdException w:name="heading 4" w:semiHidden="0" w:unhideWhenUsed="0" w:qFormat="1"/>
    <w:lsdException w:name="heading 5" w:semiHidden="0" w:unhideWhenUsed="0"/>
    <w:lsdException w:name="heading 7" w:qFormat="1"/>
    <w:lsdException w:name="heading 8" w:qFormat="1"/>
    <w:lsdException w:name="heading 9" w:qFormat="1"/>
    <w:lsdException w:name="toc 1" w:uiPriority="39"/>
    <w:lsdException w:name="toc 2" w:uiPriority="39"/>
    <w:lsdException w:name="caption" w:qFormat="1"/>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632009"/>
    <w:pPr>
      <w:spacing w:before="120" w:after="120" w:line="260" w:lineRule="atLeast"/>
    </w:pPr>
    <w:rPr>
      <w:rFonts w:ascii="Arial" w:hAnsi="Arial"/>
      <w:sz w:val="22"/>
      <w:szCs w:val="24"/>
    </w:rPr>
  </w:style>
  <w:style w:type="paragraph" w:styleId="Heading1">
    <w:name w:val="heading 1"/>
    <w:basedOn w:val="Normal"/>
    <w:next w:val="Normal"/>
    <w:uiPriority w:val="2"/>
    <w:qFormat/>
    <w:rsid w:val="002256A8"/>
    <w:pPr>
      <w:keepNext/>
      <w:keepLines/>
      <w:spacing w:after="880" w:line="216" w:lineRule="auto"/>
      <w:contextualSpacing/>
      <w:outlineLvl w:val="0"/>
    </w:pPr>
    <w:rPr>
      <w:b/>
      <w:caps/>
      <w:color w:val="004200" w:themeColor="accent1"/>
      <w:sz w:val="52"/>
      <w:szCs w:val="44"/>
    </w:rPr>
  </w:style>
  <w:style w:type="paragraph" w:styleId="Heading2">
    <w:name w:val="heading 2"/>
    <w:basedOn w:val="Normal"/>
    <w:next w:val="Normal"/>
    <w:link w:val="Heading2Char"/>
    <w:uiPriority w:val="2"/>
    <w:qFormat/>
    <w:rsid w:val="004225DC"/>
    <w:pPr>
      <w:keepNext/>
      <w:keepLines/>
      <w:spacing w:after="880" w:line="216" w:lineRule="auto"/>
      <w:contextualSpacing/>
      <w:outlineLvl w:val="1"/>
    </w:pPr>
    <w:rPr>
      <w:b/>
      <w:caps/>
      <w:color w:val="008A00"/>
      <w:sz w:val="44"/>
      <w:szCs w:val="44"/>
    </w:rPr>
  </w:style>
  <w:style w:type="paragraph" w:styleId="Heading3">
    <w:name w:val="heading 3"/>
    <w:basedOn w:val="Normal"/>
    <w:next w:val="Normal"/>
    <w:uiPriority w:val="2"/>
    <w:qFormat/>
    <w:rsid w:val="001E52C2"/>
    <w:pPr>
      <w:keepNext/>
      <w:keepLines/>
      <w:spacing w:before="360" w:line="240" w:lineRule="auto"/>
      <w:contextualSpacing/>
      <w:outlineLvl w:val="2"/>
    </w:pPr>
    <w:rPr>
      <w:rFonts w:ascii="Arial Bold" w:hAnsi="Arial Bold"/>
      <w:b/>
      <w:caps/>
      <w:sz w:val="24"/>
      <w:szCs w:val="28"/>
    </w:rPr>
  </w:style>
  <w:style w:type="paragraph" w:styleId="Heading4">
    <w:name w:val="heading 4"/>
    <w:basedOn w:val="Normal"/>
    <w:next w:val="Normal"/>
    <w:uiPriority w:val="2"/>
    <w:qFormat/>
    <w:rsid w:val="00010F15"/>
    <w:pPr>
      <w:keepNext/>
      <w:keepLines/>
      <w:spacing w:before="240"/>
      <w:contextualSpacing/>
      <w:outlineLvl w:val="3"/>
    </w:pPr>
    <w:rPr>
      <w:b/>
      <w:color w:val="008A00" w:themeColor="accent2"/>
    </w:rPr>
  </w:style>
  <w:style w:type="paragraph" w:styleId="Heading5">
    <w:name w:val="heading 5"/>
    <w:basedOn w:val="Normal"/>
    <w:next w:val="Normal"/>
    <w:link w:val="Heading5Char"/>
    <w:semiHidden/>
    <w:rsid w:val="002672F1"/>
    <w:pPr>
      <w:keepNext/>
      <w:spacing w:before="240"/>
      <w:contextualSpacing/>
      <w:outlineLvl w:val="4"/>
    </w:pPr>
    <w:rPr>
      <w:b/>
      <w:szCs w:val="22"/>
    </w:rPr>
  </w:style>
  <w:style w:type="paragraph" w:styleId="Heading6">
    <w:name w:val="heading 6"/>
    <w:basedOn w:val="Normal"/>
    <w:next w:val="Normal"/>
    <w:link w:val="Heading6Char"/>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571AB1"/>
    <w:pPr>
      <w:tabs>
        <w:tab w:val="right" w:pos="10319"/>
      </w:tabs>
      <w:spacing w:after="0"/>
    </w:pPr>
    <w:rPr>
      <w:sz w:val="20"/>
    </w:rPr>
  </w:style>
  <w:style w:type="paragraph" w:styleId="Title">
    <w:name w:val="Title"/>
    <w:basedOn w:val="Normal"/>
    <w:rsid w:val="00CC586D"/>
    <w:pPr>
      <w:spacing w:before="480" w:after="360" w:line="204" w:lineRule="auto"/>
      <w:contextualSpacing/>
      <w:outlineLvl w:val="0"/>
    </w:pPr>
    <w:rPr>
      <w:rFonts w:cs="Arial"/>
      <w:b/>
      <w:bCs/>
      <w:caps/>
      <w:color w:val="FFFFFF" w:themeColor="background1"/>
      <w:kern w:val="28"/>
      <w:sz w:val="80"/>
      <w:szCs w:val="32"/>
    </w:rPr>
  </w:style>
  <w:style w:type="paragraph" w:styleId="ListBullet">
    <w:name w:val="List Bullet"/>
    <w:basedOn w:val="Normal"/>
    <w:uiPriority w:val="3"/>
    <w:qFormat/>
    <w:rsid w:val="00D91466"/>
    <w:pPr>
      <w:numPr>
        <w:numId w:val="1"/>
      </w:numPr>
      <w:spacing w:before="60" w:after="60"/>
    </w:pPr>
  </w:style>
  <w:style w:type="paragraph" w:styleId="Footer">
    <w:name w:val="footer"/>
    <w:basedOn w:val="Header"/>
    <w:uiPriority w:val="99"/>
    <w:rsid w:val="00733251"/>
    <w:pPr>
      <w:tabs>
        <w:tab w:val="right" w:pos="9639"/>
      </w:tabs>
      <w:spacing w:before="0" w:line="240" w:lineRule="auto"/>
    </w:pPr>
  </w:style>
  <w:style w:type="paragraph" w:customStyle="1" w:styleId="Smalltext">
    <w:name w:val="Small text"/>
    <w:basedOn w:val="Normal"/>
    <w:rsid w:val="0055532E"/>
    <w:pPr>
      <w:spacing w:before="60" w:after="60"/>
      <w:ind w:left="210" w:hanging="210"/>
    </w:pPr>
    <w:rPr>
      <w:sz w:val="16"/>
      <w:szCs w:val="16"/>
      <w:lang w:val="en-US"/>
    </w:rPr>
  </w:style>
  <w:style w:type="character" w:styleId="Hyperlink">
    <w:name w:val="Hyperlink"/>
    <w:basedOn w:val="DefaultParagraphFont"/>
    <w:uiPriority w:val="99"/>
    <w:rsid w:val="00494832"/>
    <w:rPr>
      <w:color w:val="auto"/>
      <w:u w:val="none"/>
    </w:r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60B81"/>
    <w:pPr>
      <w:spacing w:before="0" w:after="0" w:line="240" w:lineRule="auto"/>
      <w:ind w:left="142" w:hanging="142"/>
    </w:pPr>
    <w:rPr>
      <w:sz w:val="18"/>
      <w:szCs w:val="20"/>
    </w:rPr>
  </w:style>
  <w:style w:type="character" w:customStyle="1" w:styleId="FootnoteTextChar">
    <w:name w:val="Footnote Text Char"/>
    <w:basedOn w:val="DefaultParagraphFont"/>
    <w:link w:val="FootnoteText"/>
    <w:uiPriority w:val="99"/>
    <w:rsid w:val="00360B81"/>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2"/>
    <w:rsid w:val="004225DC"/>
    <w:rPr>
      <w:rFonts w:ascii="Arial" w:hAnsi="Arial"/>
      <w:b/>
      <w:caps/>
      <w:color w:val="008A00"/>
      <w:sz w:val="44"/>
      <w:szCs w:val="44"/>
    </w:rPr>
  </w:style>
  <w:style w:type="paragraph" w:styleId="TOC1">
    <w:name w:val="toc 1"/>
    <w:basedOn w:val="Normal"/>
    <w:next w:val="Normal"/>
    <w:autoRedefine/>
    <w:uiPriority w:val="39"/>
    <w:rsid w:val="00135B7E"/>
    <w:pPr>
      <w:tabs>
        <w:tab w:val="right" w:leader="dot" w:pos="7643"/>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A00"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uiPriority w:val="39"/>
    <w:rsid w:val="002256A8"/>
    <w:pPr>
      <w:outlineLvl w:val="9"/>
    </w:pPr>
    <w:rPr>
      <w:rFonts w:asciiTheme="majorHAnsi" w:eastAsiaTheme="majorEastAsia" w:hAnsiTheme="majorHAnsi" w:cstheme="majorBidi"/>
      <w:bCs/>
      <w:szCs w:val="28"/>
    </w:rPr>
  </w:style>
  <w:style w:type="paragraph" w:customStyle="1" w:styleId="SourceNotesText">
    <w:name w:val="Source/Notes Text"/>
    <w:basedOn w:val="Normal"/>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qFormat/>
    <w:rsid w:val="00406578"/>
    <w:rPr>
      <w:rFonts w:ascii="Arial" w:hAnsi="Arial"/>
      <w:sz w:val="22"/>
      <w:szCs w:val="24"/>
    </w:rPr>
  </w:style>
  <w:style w:type="paragraph" w:styleId="EndnoteText">
    <w:name w:val="endnote text"/>
    <w:basedOn w:val="Normal"/>
    <w:link w:val="EndnoteTextChar"/>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next w:val="Normal"/>
    <w:link w:val="SubtitleChar"/>
    <w:rsid w:val="00CC586D"/>
    <w:pPr>
      <w:numPr>
        <w:ilvl w:val="1"/>
      </w:numP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rsid w:val="00CC586D"/>
    <w:rPr>
      <w:rFonts w:asciiTheme="majorHAnsi" w:eastAsiaTheme="majorEastAsia" w:hAnsiTheme="majorHAnsi" w:cstheme="majorBidi"/>
      <w:iCs/>
      <w:color w:val="FFFFFF" w:themeColor="background1"/>
      <w:sz w:val="28"/>
      <w:szCs w:val="24"/>
    </w:rPr>
  </w:style>
  <w:style w:type="paragraph" w:customStyle="1" w:styleId="TableHeading">
    <w:name w:val="Table Heading"/>
    <w:basedOn w:val="Normal"/>
    <w:next w:val="TableText"/>
    <w:uiPriority w:val="99"/>
    <w:qFormat/>
    <w:rsid w:val="00835FC9"/>
    <w:pPr>
      <w:keepNext/>
      <w:keepLines/>
      <w:spacing w:before="360"/>
      <w:contextualSpacing/>
    </w:pPr>
    <w:rPr>
      <w:b/>
      <w:szCs w:val="20"/>
    </w:rPr>
  </w:style>
  <w:style w:type="paragraph" w:customStyle="1" w:styleId="FigureHeading">
    <w:name w:val="Figure Heading"/>
    <w:basedOn w:val="Normal"/>
    <w:uiPriority w:val="99"/>
    <w:qFormat/>
    <w:rsid w:val="00835FC9"/>
    <w:pPr>
      <w:keepNext/>
      <w:keepLines/>
      <w:spacing w:before="360"/>
      <w:contextualSpacing/>
    </w:pPr>
    <w:rPr>
      <w:b/>
    </w:rPr>
  </w:style>
  <w:style w:type="paragraph" w:customStyle="1" w:styleId="FinancialsH1">
    <w:name w:val="Financials H1"/>
    <w:basedOn w:val="Heading1"/>
    <w:next w:val="Normal"/>
    <w:uiPriority w:val="1"/>
    <w:rsid w:val="00010D84"/>
    <w:pPr>
      <w:spacing w:before="0" w:after="360"/>
    </w:pPr>
    <w:rPr>
      <w:color w:val="008A00" w:themeColor="accent2"/>
      <w:sz w:val="44"/>
    </w:rPr>
  </w:style>
  <w:style w:type="paragraph" w:customStyle="1" w:styleId="FinancialsH2">
    <w:name w:val="Financials H2"/>
    <w:basedOn w:val="Heading2"/>
    <w:next w:val="Normal"/>
    <w:uiPriority w:val="1"/>
    <w:rsid w:val="00FC654D"/>
    <w:pPr>
      <w:spacing w:before="360" w:after="0" w:line="240" w:lineRule="auto"/>
    </w:pPr>
    <w:rPr>
      <w:rFonts w:ascii="Arial Bold" w:hAnsi="Arial Bold"/>
      <w:caps w:val="0"/>
      <w:color w:val="auto"/>
      <w:sz w:val="24"/>
      <w:szCs w:val="24"/>
    </w:rPr>
  </w:style>
  <w:style w:type="paragraph" w:customStyle="1" w:styleId="FinancialsH3">
    <w:name w:val="Financials H3"/>
    <w:basedOn w:val="Heading3"/>
    <w:uiPriority w:val="1"/>
    <w:rsid w:val="00A00568"/>
    <w:pPr>
      <w:spacing w:before="240"/>
    </w:pPr>
    <w:rPr>
      <w:sz w:val="22"/>
      <w:szCs w:val="22"/>
      <w:lang w:val="en-GB"/>
    </w:rPr>
  </w:style>
  <w:style w:type="paragraph" w:customStyle="1" w:styleId="FinancialsH4">
    <w:name w:val="Financials H4"/>
    <w:basedOn w:val="Heading4"/>
    <w:uiPriority w:val="1"/>
    <w:rsid w:val="00A00568"/>
    <w:pPr>
      <w:spacing w:before="120"/>
    </w:pPr>
    <w:rPr>
      <w:rFonts w:ascii="Arial Bold" w:hAnsi="Arial Bold"/>
      <w:lang w:val="en-GB"/>
    </w:rPr>
  </w:style>
  <w:style w:type="paragraph" w:customStyle="1" w:styleId="FinancialsH5">
    <w:name w:val="Financials H5"/>
    <w:basedOn w:val="Heading5"/>
    <w:uiPriority w:val="1"/>
    <w:rsid w:val="00A00568"/>
    <w:pPr>
      <w:spacing w:before="120"/>
    </w:pPr>
    <w:rPr>
      <w:bCs/>
      <w:lang w:val="en-GB"/>
    </w:rPr>
  </w:style>
  <w:style w:type="paragraph" w:customStyle="1" w:styleId="FinancialsTableH2">
    <w:name w:val="Financials Table H2"/>
    <w:basedOn w:val="TableText"/>
    <w:uiPriority w:val="1"/>
    <w:rsid w:val="00660951"/>
    <w:pPr>
      <w:spacing w:before="120" w:after="40" w:line="240" w:lineRule="auto"/>
    </w:pPr>
    <w:rPr>
      <w:b/>
      <w:color w:val="008A00" w:themeColor="accent2"/>
    </w:rPr>
  </w:style>
  <w:style w:type="paragraph" w:customStyle="1" w:styleId="FinancialsTableText">
    <w:name w:val="Financials Table Text"/>
    <w:basedOn w:val="TableText"/>
    <w:uiPriority w:val="1"/>
    <w:rsid w:val="00660951"/>
    <w:pPr>
      <w:spacing w:before="40" w:after="40" w:line="240" w:lineRule="auto"/>
    </w:pPr>
  </w:style>
  <w:style w:type="paragraph" w:customStyle="1" w:styleId="FinancialsTableTextIndented">
    <w:name w:val="Financials Table Text Indented"/>
    <w:basedOn w:val="TableText"/>
    <w:uiPriority w:val="1"/>
    <w:rsid w:val="00F3495A"/>
    <w:pPr>
      <w:spacing w:before="40" w:after="40" w:line="240" w:lineRule="auto"/>
      <w:ind w:left="170"/>
    </w:pPr>
    <w:rPr>
      <w:i/>
    </w:rPr>
  </w:style>
  <w:style w:type="paragraph" w:customStyle="1" w:styleId="FinancialsTableH1">
    <w:name w:val="Financials Table H1"/>
    <w:basedOn w:val="TableText"/>
    <w:uiPriority w:val="1"/>
    <w:rsid w:val="007A7D19"/>
    <w:pPr>
      <w:spacing w:before="160" w:after="40" w:line="240" w:lineRule="auto"/>
    </w:pPr>
    <w:rPr>
      <w:rFonts w:ascii="Arial Bold" w:hAnsi="Arial Bold"/>
      <w:b/>
      <w:caps/>
    </w:rPr>
  </w:style>
  <w:style w:type="paragraph" w:customStyle="1" w:styleId="NoParagraphStyle">
    <w:name w:val="[No Paragraph Styl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uiPriority w:val="1"/>
    <w:qFormat/>
    <w:rsid w:val="00FC6134"/>
  </w:style>
  <w:style w:type="paragraph" w:customStyle="1" w:styleId="AppendixH2">
    <w:name w:val="Appendix H2"/>
    <w:basedOn w:val="FinancialsH2"/>
    <w:uiPriority w:val="1"/>
    <w:qFormat/>
    <w:rsid w:val="00FC6134"/>
  </w:style>
  <w:style w:type="character" w:styleId="CommentReference">
    <w:name w:val="annotation reference"/>
    <w:basedOn w:val="DefaultParagraphFont"/>
    <w:semiHidden/>
    <w:unhideWhenUsed/>
    <w:rsid w:val="00952718"/>
    <w:rPr>
      <w:sz w:val="16"/>
      <w:szCs w:val="16"/>
    </w:rPr>
  </w:style>
  <w:style w:type="paragraph" w:styleId="CommentText">
    <w:name w:val="annotation text"/>
    <w:basedOn w:val="Normal"/>
    <w:link w:val="CommentTextChar"/>
    <w:semiHidden/>
    <w:unhideWhenUsed/>
    <w:rsid w:val="00952718"/>
    <w:pPr>
      <w:spacing w:line="240" w:lineRule="auto"/>
    </w:pPr>
    <w:rPr>
      <w:sz w:val="20"/>
      <w:szCs w:val="20"/>
    </w:rPr>
  </w:style>
  <w:style w:type="character" w:customStyle="1" w:styleId="CommentTextChar">
    <w:name w:val="Comment Text Char"/>
    <w:basedOn w:val="DefaultParagraphFont"/>
    <w:link w:val="CommentText"/>
    <w:semiHidden/>
    <w:rsid w:val="00952718"/>
    <w:rPr>
      <w:rFonts w:ascii="Arial" w:hAnsi="Arial"/>
    </w:rPr>
  </w:style>
  <w:style w:type="paragraph" w:styleId="CommentSubject">
    <w:name w:val="annotation subject"/>
    <w:basedOn w:val="CommentText"/>
    <w:next w:val="CommentText"/>
    <w:link w:val="CommentSubjectChar"/>
    <w:semiHidden/>
    <w:unhideWhenUsed/>
    <w:rsid w:val="00952718"/>
    <w:rPr>
      <w:b/>
      <w:bCs/>
    </w:rPr>
  </w:style>
  <w:style w:type="character" w:customStyle="1" w:styleId="CommentSubjectChar">
    <w:name w:val="Comment Subject Char"/>
    <w:basedOn w:val="CommentTextChar"/>
    <w:link w:val="CommentSubject"/>
    <w:semiHidden/>
    <w:rsid w:val="00952718"/>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2" w:unhideWhenUsed="0" w:qFormat="1"/>
    <w:lsdException w:name="heading 3" w:semiHidden="0" w:unhideWhenUsed="0" w:qFormat="1"/>
    <w:lsdException w:name="heading 4" w:semiHidden="0" w:unhideWhenUsed="0" w:qFormat="1"/>
    <w:lsdException w:name="heading 5" w:semiHidden="0" w:unhideWhenUsed="0"/>
    <w:lsdException w:name="heading 7" w:qFormat="1"/>
    <w:lsdException w:name="heading 8" w:qFormat="1"/>
    <w:lsdException w:name="heading 9" w:qFormat="1"/>
    <w:lsdException w:name="toc 1" w:uiPriority="39"/>
    <w:lsdException w:name="toc 2" w:uiPriority="39"/>
    <w:lsdException w:name="caption" w:qFormat="1"/>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632009"/>
    <w:pPr>
      <w:spacing w:before="120" w:after="120" w:line="260" w:lineRule="atLeast"/>
    </w:pPr>
    <w:rPr>
      <w:rFonts w:ascii="Arial" w:hAnsi="Arial"/>
      <w:sz w:val="22"/>
      <w:szCs w:val="24"/>
    </w:rPr>
  </w:style>
  <w:style w:type="paragraph" w:styleId="Heading1">
    <w:name w:val="heading 1"/>
    <w:basedOn w:val="Normal"/>
    <w:next w:val="Normal"/>
    <w:uiPriority w:val="2"/>
    <w:qFormat/>
    <w:rsid w:val="002256A8"/>
    <w:pPr>
      <w:keepNext/>
      <w:keepLines/>
      <w:spacing w:after="880" w:line="216" w:lineRule="auto"/>
      <w:contextualSpacing/>
      <w:outlineLvl w:val="0"/>
    </w:pPr>
    <w:rPr>
      <w:b/>
      <w:caps/>
      <w:color w:val="004200" w:themeColor="accent1"/>
      <w:sz w:val="52"/>
      <w:szCs w:val="44"/>
    </w:rPr>
  </w:style>
  <w:style w:type="paragraph" w:styleId="Heading2">
    <w:name w:val="heading 2"/>
    <w:basedOn w:val="Normal"/>
    <w:next w:val="Normal"/>
    <w:link w:val="Heading2Char"/>
    <w:uiPriority w:val="2"/>
    <w:qFormat/>
    <w:rsid w:val="004225DC"/>
    <w:pPr>
      <w:keepNext/>
      <w:keepLines/>
      <w:spacing w:after="880" w:line="216" w:lineRule="auto"/>
      <w:contextualSpacing/>
      <w:outlineLvl w:val="1"/>
    </w:pPr>
    <w:rPr>
      <w:b/>
      <w:caps/>
      <w:color w:val="008A00"/>
      <w:sz w:val="44"/>
      <w:szCs w:val="44"/>
    </w:rPr>
  </w:style>
  <w:style w:type="paragraph" w:styleId="Heading3">
    <w:name w:val="heading 3"/>
    <w:basedOn w:val="Normal"/>
    <w:next w:val="Normal"/>
    <w:uiPriority w:val="2"/>
    <w:qFormat/>
    <w:rsid w:val="001E52C2"/>
    <w:pPr>
      <w:keepNext/>
      <w:keepLines/>
      <w:spacing w:before="360" w:line="240" w:lineRule="auto"/>
      <w:contextualSpacing/>
      <w:outlineLvl w:val="2"/>
    </w:pPr>
    <w:rPr>
      <w:rFonts w:ascii="Arial Bold" w:hAnsi="Arial Bold"/>
      <w:b/>
      <w:caps/>
      <w:sz w:val="24"/>
      <w:szCs w:val="28"/>
    </w:rPr>
  </w:style>
  <w:style w:type="paragraph" w:styleId="Heading4">
    <w:name w:val="heading 4"/>
    <w:basedOn w:val="Normal"/>
    <w:next w:val="Normal"/>
    <w:uiPriority w:val="2"/>
    <w:qFormat/>
    <w:rsid w:val="00010F15"/>
    <w:pPr>
      <w:keepNext/>
      <w:keepLines/>
      <w:spacing w:before="240"/>
      <w:contextualSpacing/>
      <w:outlineLvl w:val="3"/>
    </w:pPr>
    <w:rPr>
      <w:b/>
      <w:color w:val="008A00" w:themeColor="accent2"/>
    </w:rPr>
  </w:style>
  <w:style w:type="paragraph" w:styleId="Heading5">
    <w:name w:val="heading 5"/>
    <w:basedOn w:val="Normal"/>
    <w:next w:val="Normal"/>
    <w:link w:val="Heading5Char"/>
    <w:semiHidden/>
    <w:rsid w:val="002672F1"/>
    <w:pPr>
      <w:keepNext/>
      <w:spacing w:before="240"/>
      <w:contextualSpacing/>
      <w:outlineLvl w:val="4"/>
    </w:pPr>
    <w:rPr>
      <w:b/>
      <w:szCs w:val="22"/>
    </w:rPr>
  </w:style>
  <w:style w:type="paragraph" w:styleId="Heading6">
    <w:name w:val="heading 6"/>
    <w:basedOn w:val="Normal"/>
    <w:next w:val="Normal"/>
    <w:link w:val="Heading6Char"/>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571AB1"/>
    <w:pPr>
      <w:tabs>
        <w:tab w:val="right" w:pos="10319"/>
      </w:tabs>
      <w:spacing w:after="0"/>
    </w:pPr>
    <w:rPr>
      <w:sz w:val="20"/>
    </w:rPr>
  </w:style>
  <w:style w:type="paragraph" w:styleId="Title">
    <w:name w:val="Title"/>
    <w:basedOn w:val="Normal"/>
    <w:rsid w:val="00CC586D"/>
    <w:pPr>
      <w:spacing w:before="480" w:after="360" w:line="204" w:lineRule="auto"/>
      <w:contextualSpacing/>
      <w:outlineLvl w:val="0"/>
    </w:pPr>
    <w:rPr>
      <w:rFonts w:cs="Arial"/>
      <w:b/>
      <w:bCs/>
      <w:caps/>
      <w:color w:val="FFFFFF" w:themeColor="background1"/>
      <w:kern w:val="28"/>
      <w:sz w:val="80"/>
      <w:szCs w:val="32"/>
    </w:rPr>
  </w:style>
  <w:style w:type="paragraph" w:styleId="ListBullet">
    <w:name w:val="List Bullet"/>
    <w:basedOn w:val="Normal"/>
    <w:uiPriority w:val="3"/>
    <w:qFormat/>
    <w:rsid w:val="00D91466"/>
    <w:pPr>
      <w:numPr>
        <w:numId w:val="1"/>
      </w:numPr>
      <w:spacing w:before="60" w:after="60"/>
    </w:pPr>
  </w:style>
  <w:style w:type="paragraph" w:styleId="Footer">
    <w:name w:val="footer"/>
    <w:basedOn w:val="Header"/>
    <w:uiPriority w:val="99"/>
    <w:rsid w:val="00733251"/>
    <w:pPr>
      <w:tabs>
        <w:tab w:val="right" w:pos="9639"/>
      </w:tabs>
      <w:spacing w:before="0" w:line="240" w:lineRule="auto"/>
    </w:pPr>
  </w:style>
  <w:style w:type="paragraph" w:customStyle="1" w:styleId="Smalltext">
    <w:name w:val="Small text"/>
    <w:basedOn w:val="Normal"/>
    <w:rsid w:val="0055532E"/>
    <w:pPr>
      <w:spacing w:before="60" w:after="60"/>
      <w:ind w:left="210" w:hanging="210"/>
    </w:pPr>
    <w:rPr>
      <w:sz w:val="16"/>
      <w:szCs w:val="16"/>
      <w:lang w:val="en-US"/>
    </w:rPr>
  </w:style>
  <w:style w:type="character" w:styleId="Hyperlink">
    <w:name w:val="Hyperlink"/>
    <w:basedOn w:val="DefaultParagraphFont"/>
    <w:uiPriority w:val="99"/>
    <w:rsid w:val="00494832"/>
    <w:rPr>
      <w:color w:val="auto"/>
      <w:u w:val="none"/>
    </w:r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60B81"/>
    <w:pPr>
      <w:spacing w:before="0" w:after="0" w:line="240" w:lineRule="auto"/>
      <w:ind w:left="142" w:hanging="142"/>
    </w:pPr>
    <w:rPr>
      <w:sz w:val="18"/>
      <w:szCs w:val="20"/>
    </w:rPr>
  </w:style>
  <w:style w:type="character" w:customStyle="1" w:styleId="FootnoteTextChar">
    <w:name w:val="Footnote Text Char"/>
    <w:basedOn w:val="DefaultParagraphFont"/>
    <w:link w:val="FootnoteText"/>
    <w:uiPriority w:val="99"/>
    <w:rsid w:val="00360B81"/>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2"/>
    <w:rsid w:val="004225DC"/>
    <w:rPr>
      <w:rFonts w:ascii="Arial" w:hAnsi="Arial"/>
      <w:b/>
      <w:caps/>
      <w:color w:val="008A00"/>
      <w:sz w:val="44"/>
      <w:szCs w:val="44"/>
    </w:rPr>
  </w:style>
  <w:style w:type="paragraph" w:styleId="TOC1">
    <w:name w:val="toc 1"/>
    <w:basedOn w:val="Normal"/>
    <w:next w:val="Normal"/>
    <w:autoRedefine/>
    <w:uiPriority w:val="39"/>
    <w:rsid w:val="00135B7E"/>
    <w:pPr>
      <w:tabs>
        <w:tab w:val="right" w:leader="dot" w:pos="7643"/>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A00"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uiPriority w:val="39"/>
    <w:rsid w:val="002256A8"/>
    <w:pPr>
      <w:outlineLvl w:val="9"/>
    </w:pPr>
    <w:rPr>
      <w:rFonts w:asciiTheme="majorHAnsi" w:eastAsiaTheme="majorEastAsia" w:hAnsiTheme="majorHAnsi" w:cstheme="majorBidi"/>
      <w:bCs/>
      <w:szCs w:val="28"/>
    </w:rPr>
  </w:style>
  <w:style w:type="paragraph" w:customStyle="1" w:styleId="SourceNotesText">
    <w:name w:val="Source/Notes Text"/>
    <w:basedOn w:val="Normal"/>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qFormat/>
    <w:rsid w:val="00406578"/>
    <w:rPr>
      <w:rFonts w:ascii="Arial" w:hAnsi="Arial"/>
      <w:sz w:val="22"/>
      <w:szCs w:val="24"/>
    </w:rPr>
  </w:style>
  <w:style w:type="paragraph" w:styleId="EndnoteText">
    <w:name w:val="endnote text"/>
    <w:basedOn w:val="Normal"/>
    <w:link w:val="EndnoteTextChar"/>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next w:val="Normal"/>
    <w:link w:val="SubtitleChar"/>
    <w:rsid w:val="00CC586D"/>
    <w:pPr>
      <w:numPr>
        <w:ilvl w:val="1"/>
      </w:numP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rsid w:val="00CC586D"/>
    <w:rPr>
      <w:rFonts w:asciiTheme="majorHAnsi" w:eastAsiaTheme="majorEastAsia" w:hAnsiTheme="majorHAnsi" w:cstheme="majorBidi"/>
      <w:iCs/>
      <w:color w:val="FFFFFF" w:themeColor="background1"/>
      <w:sz w:val="28"/>
      <w:szCs w:val="24"/>
    </w:rPr>
  </w:style>
  <w:style w:type="paragraph" w:customStyle="1" w:styleId="TableHeading">
    <w:name w:val="Table Heading"/>
    <w:basedOn w:val="Normal"/>
    <w:next w:val="TableText"/>
    <w:uiPriority w:val="99"/>
    <w:qFormat/>
    <w:rsid w:val="00835FC9"/>
    <w:pPr>
      <w:keepNext/>
      <w:keepLines/>
      <w:spacing w:before="360"/>
      <w:contextualSpacing/>
    </w:pPr>
    <w:rPr>
      <w:b/>
      <w:szCs w:val="20"/>
    </w:rPr>
  </w:style>
  <w:style w:type="paragraph" w:customStyle="1" w:styleId="FigureHeading">
    <w:name w:val="Figure Heading"/>
    <w:basedOn w:val="Normal"/>
    <w:uiPriority w:val="99"/>
    <w:qFormat/>
    <w:rsid w:val="00835FC9"/>
    <w:pPr>
      <w:keepNext/>
      <w:keepLines/>
      <w:spacing w:before="360"/>
      <w:contextualSpacing/>
    </w:pPr>
    <w:rPr>
      <w:b/>
    </w:rPr>
  </w:style>
  <w:style w:type="paragraph" w:customStyle="1" w:styleId="FinancialsH1">
    <w:name w:val="Financials H1"/>
    <w:basedOn w:val="Heading1"/>
    <w:next w:val="Normal"/>
    <w:uiPriority w:val="1"/>
    <w:rsid w:val="00010D84"/>
    <w:pPr>
      <w:spacing w:before="0" w:after="360"/>
    </w:pPr>
    <w:rPr>
      <w:color w:val="008A00" w:themeColor="accent2"/>
      <w:sz w:val="44"/>
    </w:rPr>
  </w:style>
  <w:style w:type="paragraph" w:customStyle="1" w:styleId="FinancialsH2">
    <w:name w:val="Financials H2"/>
    <w:basedOn w:val="Heading2"/>
    <w:next w:val="Normal"/>
    <w:uiPriority w:val="1"/>
    <w:rsid w:val="00FC654D"/>
    <w:pPr>
      <w:spacing w:before="360" w:after="0" w:line="240" w:lineRule="auto"/>
    </w:pPr>
    <w:rPr>
      <w:rFonts w:ascii="Arial Bold" w:hAnsi="Arial Bold"/>
      <w:caps w:val="0"/>
      <w:color w:val="auto"/>
      <w:sz w:val="24"/>
      <w:szCs w:val="24"/>
    </w:rPr>
  </w:style>
  <w:style w:type="paragraph" w:customStyle="1" w:styleId="FinancialsH3">
    <w:name w:val="Financials H3"/>
    <w:basedOn w:val="Heading3"/>
    <w:uiPriority w:val="1"/>
    <w:rsid w:val="00A00568"/>
    <w:pPr>
      <w:spacing w:before="240"/>
    </w:pPr>
    <w:rPr>
      <w:sz w:val="22"/>
      <w:szCs w:val="22"/>
      <w:lang w:val="en-GB"/>
    </w:rPr>
  </w:style>
  <w:style w:type="paragraph" w:customStyle="1" w:styleId="FinancialsH4">
    <w:name w:val="Financials H4"/>
    <w:basedOn w:val="Heading4"/>
    <w:uiPriority w:val="1"/>
    <w:rsid w:val="00A00568"/>
    <w:pPr>
      <w:spacing w:before="120"/>
    </w:pPr>
    <w:rPr>
      <w:rFonts w:ascii="Arial Bold" w:hAnsi="Arial Bold"/>
      <w:lang w:val="en-GB"/>
    </w:rPr>
  </w:style>
  <w:style w:type="paragraph" w:customStyle="1" w:styleId="FinancialsH5">
    <w:name w:val="Financials H5"/>
    <w:basedOn w:val="Heading5"/>
    <w:uiPriority w:val="1"/>
    <w:rsid w:val="00A00568"/>
    <w:pPr>
      <w:spacing w:before="120"/>
    </w:pPr>
    <w:rPr>
      <w:bCs/>
      <w:lang w:val="en-GB"/>
    </w:rPr>
  </w:style>
  <w:style w:type="paragraph" w:customStyle="1" w:styleId="FinancialsTableH2">
    <w:name w:val="Financials Table H2"/>
    <w:basedOn w:val="TableText"/>
    <w:uiPriority w:val="1"/>
    <w:rsid w:val="00660951"/>
    <w:pPr>
      <w:spacing w:before="120" w:after="40" w:line="240" w:lineRule="auto"/>
    </w:pPr>
    <w:rPr>
      <w:b/>
      <w:color w:val="008A00" w:themeColor="accent2"/>
    </w:rPr>
  </w:style>
  <w:style w:type="paragraph" w:customStyle="1" w:styleId="FinancialsTableText">
    <w:name w:val="Financials Table Text"/>
    <w:basedOn w:val="TableText"/>
    <w:uiPriority w:val="1"/>
    <w:rsid w:val="00660951"/>
    <w:pPr>
      <w:spacing w:before="40" w:after="40" w:line="240" w:lineRule="auto"/>
    </w:pPr>
  </w:style>
  <w:style w:type="paragraph" w:customStyle="1" w:styleId="FinancialsTableTextIndented">
    <w:name w:val="Financials Table Text Indented"/>
    <w:basedOn w:val="TableText"/>
    <w:uiPriority w:val="1"/>
    <w:rsid w:val="00F3495A"/>
    <w:pPr>
      <w:spacing w:before="40" w:after="40" w:line="240" w:lineRule="auto"/>
      <w:ind w:left="170"/>
    </w:pPr>
    <w:rPr>
      <w:i/>
    </w:rPr>
  </w:style>
  <w:style w:type="paragraph" w:customStyle="1" w:styleId="FinancialsTableH1">
    <w:name w:val="Financials Table H1"/>
    <w:basedOn w:val="TableText"/>
    <w:uiPriority w:val="1"/>
    <w:rsid w:val="007A7D19"/>
    <w:pPr>
      <w:spacing w:before="160" w:after="40" w:line="240" w:lineRule="auto"/>
    </w:pPr>
    <w:rPr>
      <w:rFonts w:ascii="Arial Bold" w:hAnsi="Arial Bold"/>
      <w:b/>
      <w:caps/>
    </w:rPr>
  </w:style>
  <w:style w:type="paragraph" w:customStyle="1" w:styleId="NoParagraphStyle">
    <w:name w:val="[No Paragraph Styl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uiPriority w:val="1"/>
    <w:qFormat/>
    <w:rsid w:val="00FC6134"/>
  </w:style>
  <w:style w:type="paragraph" w:customStyle="1" w:styleId="AppendixH2">
    <w:name w:val="Appendix H2"/>
    <w:basedOn w:val="FinancialsH2"/>
    <w:uiPriority w:val="1"/>
    <w:qFormat/>
    <w:rsid w:val="00FC6134"/>
  </w:style>
  <w:style w:type="character" w:styleId="CommentReference">
    <w:name w:val="annotation reference"/>
    <w:basedOn w:val="DefaultParagraphFont"/>
    <w:semiHidden/>
    <w:unhideWhenUsed/>
    <w:rsid w:val="00952718"/>
    <w:rPr>
      <w:sz w:val="16"/>
      <w:szCs w:val="16"/>
    </w:rPr>
  </w:style>
  <w:style w:type="paragraph" w:styleId="CommentText">
    <w:name w:val="annotation text"/>
    <w:basedOn w:val="Normal"/>
    <w:link w:val="CommentTextChar"/>
    <w:semiHidden/>
    <w:unhideWhenUsed/>
    <w:rsid w:val="00952718"/>
    <w:pPr>
      <w:spacing w:line="240" w:lineRule="auto"/>
    </w:pPr>
    <w:rPr>
      <w:sz w:val="20"/>
      <w:szCs w:val="20"/>
    </w:rPr>
  </w:style>
  <w:style w:type="character" w:customStyle="1" w:styleId="CommentTextChar">
    <w:name w:val="Comment Text Char"/>
    <w:basedOn w:val="DefaultParagraphFont"/>
    <w:link w:val="CommentText"/>
    <w:semiHidden/>
    <w:rsid w:val="00952718"/>
    <w:rPr>
      <w:rFonts w:ascii="Arial" w:hAnsi="Arial"/>
    </w:rPr>
  </w:style>
  <w:style w:type="paragraph" w:styleId="CommentSubject">
    <w:name w:val="annotation subject"/>
    <w:basedOn w:val="CommentText"/>
    <w:next w:val="CommentText"/>
    <w:link w:val="CommentSubjectChar"/>
    <w:semiHidden/>
    <w:unhideWhenUsed/>
    <w:rsid w:val="00952718"/>
    <w:rPr>
      <w:b/>
      <w:bCs/>
    </w:rPr>
  </w:style>
  <w:style w:type="character" w:customStyle="1" w:styleId="CommentSubjectChar">
    <w:name w:val="Comment Subject Char"/>
    <w:basedOn w:val="CommentTextChar"/>
    <w:link w:val="CommentSubject"/>
    <w:semiHidden/>
    <w:rsid w:val="0095271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www.dss.gov.au" TargetMode="External"/><Relationship Id="rId42" Type="http://schemas.openxmlformats.org/officeDocument/2006/relationships/header" Target="header5.xml"/><Relationship Id="rId47" Type="http://schemas.openxmlformats.org/officeDocument/2006/relationships/hyperlink" Target="http://www.yourhealth.gov.au/internet/yourhealth/publishing.nsf/Content/nhra-justreleased" TargetMode="External"/><Relationship Id="rId50" Type="http://schemas.openxmlformats.org/officeDocument/2006/relationships/hyperlink" Target="http://www.comlaw.gov.au/Series/C2004A02562" TargetMode="External"/><Relationship Id="rId55" Type="http://schemas.openxmlformats.org/officeDocument/2006/relationships/hyperlink" Target="http://www.ihpa.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apsc.gov.au" TargetMode="External"/><Relationship Id="rId38" Type="http://schemas.openxmlformats.org/officeDocument/2006/relationships/image" Target="media/image20.png"/><Relationship Id="rId46" Type="http://schemas.openxmlformats.org/officeDocument/2006/relationships/hyperlink" Target="http://www.finance.gov.au/advertising/index.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ihpa.gov.au" TargetMode="External"/><Relationship Id="rId41" Type="http://schemas.openxmlformats.org/officeDocument/2006/relationships/header" Target="header4.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www.finance.gov.au/procurement/statistics-on-commonwealth-purchasing-contracts/" TargetMode="External"/><Relationship Id="rId37" Type="http://schemas.openxmlformats.org/officeDocument/2006/relationships/image" Target="media/image19.png"/><Relationship Id="rId40" Type="http://schemas.openxmlformats.org/officeDocument/2006/relationships/header" Target="header3.xml"/><Relationship Id="rId45" Type="http://schemas.openxmlformats.org/officeDocument/2006/relationships/hyperlink" Target="http://www.privacy.gov.au" TargetMode="External"/><Relationship Id="rId53" Type="http://schemas.openxmlformats.org/officeDocument/2006/relationships/hyperlink" Target="http://www.comlaw.gov.au/Series/C2004A00538"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ihpa.gov.au" TargetMode="External"/><Relationship Id="rId36" Type="http://schemas.openxmlformats.org/officeDocument/2006/relationships/footer" Target="footer2.xml"/><Relationship Id="rId49" Type="http://schemas.openxmlformats.org/officeDocument/2006/relationships/hyperlink" Target="http://www.environment.gov.au/epbc/" TargetMode="External"/><Relationship Id="rId57"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tenders.gov.au" TargetMode="External"/><Relationship Id="rId44" Type="http://schemas.openxmlformats.org/officeDocument/2006/relationships/hyperlink" Target="http://www.ihpa.gov.au" TargetMode="External"/><Relationship Id="rId52" Type="http://schemas.openxmlformats.org/officeDocument/2006/relationships/hyperlink" Target="http://www.comlaw.gov.au/Details/C2011C00952"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health.gov.au/internet/budget/publishing.nsf/Content/2014-2015_Health_PBS" TargetMode="External"/><Relationship Id="rId30" Type="http://schemas.openxmlformats.org/officeDocument/2006/relationships/image" Target="media/image17.png"/><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hyperlink" Target="http://www.comlaw.gov.au/Details/C2010A00123" TargetMode="External"/><Relationship Id="rId56"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comlaw.gov.au/Details/C2011A00137"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000000"/>
      </a:dk2>
      <a:lt2>
        <a:srgbClr val="F8F8F8"/>
      </a:lt2>
      <a:accent1>
        <a:srgbClr val="004200"/>
      </a:accent1>
      <a:accent2>
        <a:srgbClr val="008A00"/>
      </a:accent2>
      <a:accent3>
        <a:srgbClr val="2FB56A"/>
      </a:accent3>
      <a:accent4>
        <a:srgbClr val="A2D28A"/>
      </a:accent4>
      <a:accent5>
        <a:srgbClr val="808285"/>
      </a:accent5>
      <a:accent6>
        <a:srgbClr val="4D4D4D"/>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99EF4-F788-4404-85D3-372EEB72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26916</Words>
  <Characters>153422</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IHPA Annual Report 2014-15</vt:lpstr>
    </vt:vector>
  </TitlesOfParts>
  <Company>Independent Hospital Pricing Authority</Company>
  <LinksUpToDate>false</LinksUpToDate>
  <CharactersWithSpaces>179979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IHPA Annual Report 2014-15</dc:title>
  <dc:creator>kim reeves</dc:creator>
  <cp:lastModifiedBy>Alison Wares</cp:lastModifiedBy>
  <cp:revision>2</cp:revision>
  <cp:lastPrinted>2015-10-26T01:01:00Z</cp:lastPrinted>
  <dcterms:created xsi:type="dcterms:W3CDTF">2015-12-08T00:48:00Z</dcterms:created>
  <dcterms:modified xsi:type="dcterms:W3CDTF">2015-12-08T00:48:00Z</dcterms:modified>
</cp:coreProperties>
</file>